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FDF35" w14:textId="1D44F352" w:rsidR="0042120D" w:rsidRDefault="00DF76B0">
      <w:pPr>
        <w:rPr>
          <w:lang w:val="hr-HR"/>
        </w:rPr>
      </w:pPr>
      <w:r>
        <w:rPr>
          <w:lang w:val="hr-HR"/>
        </w:rPr>
        <w:t>PRELIMINARY FINANCIAL REPORT OF THE IUC ASSOCIATION FOR 2023 /BUDGET 2024</w:t>
      </w:r>
    </w:p>
    <w:p w14:paraId="5AE3581D" w14:textId="77777777" w:rsidR="00DF76B0" w:rsidRDefault="00DF76B0">
      <w:pPr>
        <w:rPr>
          <w:lang w:val="hr-HR"/>
        </w:rPr>
      </w:pPr>
    </w:p>
    <w:p w14:paraId="59640060" w14:textId="747E7DF2" w:rsidR="00DF76B0" w:rsidRPr="00DF76B0" w:rsidRDefault="00DF76B0">
      <w:pPr>
        <w:rPr>
          <w:b/>
          <w:bCs/>
          <w:lang w:val="hr-HR"/>
        </w:rPr>
      </w:pPr>
      <w:r w:rsidRPr="00DF76B0">
        <w:rPr>
          <w:b/>
          <w:bCs/>
          <w:lang w:val="hr-HR"/>
        </w:rPr>
        <w:t xml:space="preserve">Financial </w:t>
      </w:r>
      <w:proofErr w:type="spellStart"/>
      <w:r w:rsidRPr="00DF76B0">
        <w:rPr>
          <w:b/>
          <w:bCs/>
          <w:lang w:val="hr-HR"/>
        </w:rPr>
        <w:t>report</w:t>
      </w:r>
      <w:proofErr w:type="spellEnd"/>
      <w:r w:rsidRPr="00DF76B0">
        <w:rPr>
          <w:b/>
          <w:bCs/>
          <w:lang w:val="hr-HR"/>
        </w:rPr>
        <w:t xml:space="preserve"> for  2023</w:t>
      </w:r>
    </w:p>
    <w:p w14:paraId="64BFD6A6" w14:textId="09CA51C9" w:rsidR="00DF76B0" w:rsidRDefault="00DF76B0">
      <w:pPr>
        <w:rPr>
          <w:b/>
          <w:bCs/>
          <w:lang w:val="hr-HR"/>
        </w:rPr>
      </w:pPr>
      <w:proofErr w:type="spellStart"/>
      <w:r w:rsidRPr="00DF76B0">
        <w:rPr>
          <w:b/>
          <w:bCs/>
          <w:lang w:val="hr-HR"/>
        </w:rPr>
        <w:t>Income</w:t>
      </w:r>
      <w:proofErr w:type="spellEnd"/>
    </w:p>
    <w:p w14:paraId="51839CAE" w14:textId="72883AB2" w:rsidR="00DF76B0" w:rsidRDefault="00DF76B0">
      <w:pPr>
        <w:rPr>
          <w:lang w:val="hr-HR"/>
        </w:rPr>
      </w:pPr>
      <w:r>
        <w:rPr>
          <w:lang w:val="hr-HR"/>
        </w:rPr>
        <w:t xml:space="preserve">The </w:t>
      </w:r>
      <w:proofErr w:type="spellStart"/>
      <w:r>
        <w:rPr>
          <w:lang w:val="hr-HR"/>
        </w:rPr>
        <w:t>support</w:t>
      </w:r>
      <w:proofErr w:type="spellEnd"/>
      <w:r>
        <w:rPr>
          <w:lang w:val="hr-HR"/>
        </w:rPr>
        <w:t xml:space="preserve"> </w:t>
      </w:r>
      <w:proofErr w:type="spellStart"/>
      <w:r>
        <w:rPr>
          <w:lang w:val="hr-HR"/>
        </w:rPr>
        <w:t>from</w:t>
      </w:r>
      <w:proofErr w:type="spellEnd"/>
      <w:r>
        <w:rPr>
          <w:lang w:val="hr-HR"/>
        </w:rPr>
        <w:t xml:space="preserve"> the Croatian </w:t>
      </w:r>
      <w:proofErr w:type="spellStart"/>
      <w:r>
        <w:rPr>
          <w:lang w:val="hr-HR"/>
        </w:rPr>
        <w:t>Ministry</w:t>
      </w:r>
      <w:proofErr w:type="spellEnd"/>
      <w:r>
        <w:rPr>
          <w:lang w:val="hr-HR"/>
        </w:rPr>
        <w:t xml:space="preserve"> of Science </w:t>
      </w:r>
      <w:proofErr w:type="spellStart"/>
      <w:r>
        <w:rPr>
          <w:lang w:val="hr-HR"/>
        </w:rPr>
        <w:t>has</w:t>
      </w:r>
      <w:proofErr w:type="spellEnd"/>
      <w:r>
        <w:rPr>
          <w:lang w:val="hr-HR"/>
        </w:rPr>
        <w:t xml:space="preserve"> </w:t>
      </w:r>
      <w:proofErr w:type="spellStart"/>
      <w:r>
        <w:rPr>
          <w:lang w:val="hr-HR"/>
        </w:rPr>
        <w:t>been</w:t>
      </w:r>
      <w:proofErr w:type="spellEnd"/>
      <w:r>
        <w:rPr>
          <w:lang w:val="hr-HR"/>
        </w:rPr>
        <w:t xml:space="preserve"> </w:t>
      </w:r>
      <w:proofErr w:type="spellStart"/>
      <w:r>
        <w:rPr>
          <w:lang w:val="hr-HR"/>
        </w:rPr>
        <w:t>arranged</w:t>
      </w:r>
      <w:proofErr w:type="spellEnd"/>
      <w:r>
        <w:rPr>
          <w:lang w:val="hr-HR"/>
        </w:rPr>
        <w:t xml:space="preserve"> in April 2023 on 100.000 Euro. 10% </w:t>
      </w:r>
      <w:proofErr w:type="spellStart"/>
      <w:r>
        <w:rPr>
          <w:lang w:val="hr-HR"/>
        </w:rPr>
        <w:t>has</w:t>
      </w:r>
      <w:proofErr w:type="spellEnd"/>
      <w:r>
        <w:rPr>
          <w:lang w:val="hr-HR"/>
        </w:rPr>
        <w:t xml:space="preserve"> </w:t>
      </w:r>
      <w:proofErr w:type="spellStart"/>
      <w:r>
        <w:rPr>
          <w:lang w:val="hr-HR"/>
        </w:rPr>
        <w:t>been</w:t>
      </w:r>
      <w:proofErr w:type="spellEnd"/>
      <w:r>
        <w:rPr>
          <w:lang w:val="hr-HR"/>
        </w:rPr>
        <w:t xml:space="preserve"> </w:t>
      </w:r>
      <w:proofErr w:type="spellStart"/>
      <w:r>
        <w:rPr>
          <w:lang w:val="hr-HR"/>
        </w:rPr>
        <w:t>received</w:t>
      </w:r>
      <w:proofErr w:type="spellEnd"/>
      <w:r>
        <w:rPr>
          <w:lang w:val="hr-HR"/>
        </w:rPr>
        <w:t xml:space="preserve"> </w:t>
      </w:r>
      <w:proofErr w:type="spellStart"/>
      <w:r>
        <w:rPr>
          <w:lang w:val="hr-HR"/>
        </w:rPr>
        <w:t>so</w:t>
      </w:r>
      <w:proofErr w:type="spellEnd"/>
      <w:r>
        <w:rPr>
          <w:lang w:val="hr-HR"/>
        </w:rPr>
        <w:t xml:space="preserve"> far. The </w:t>
      </w:r>
      <w:proofErr w:type="spellStart"/>
      <w:r>
        <w:rPr>
          <w:lang w:val="hr-HR"/>
        </w:rPr>
        <w:t>remaining</w:t>
      </w:r>
      <w:proofErr w:type="spellEnd"/>
      <w:r>
        <w:rPr>
          <w:lang w:val="hr-HR"/>
        </w:rPr>
        <w:t xml:space="preserve"> 90% are </w:t>
      </w:r>
      <w:proofErr w:type="spellStart"/>
      <w:r>
        <w:rPr>
          <w:lang w:val="hr-HR"/>
        </w:rPr>
        <w:t>expected</w:t>
      </w:r>
      <w:proofErr w:type="spellEnd"/>
      <w:r>
        <w:rPr>
          <w:lang w:val="hr-HR"/>
        </w:rPr>
        <w:t xml:space="preserve"> </w:t>
      </w:r>
      <w:proofErr w:type="spellStart"/>
      <w:r>
        <w:rPr>
          <w:lang w:val="hr-HR"/>
        </w:rPr>
        <w:t>when</w:t>
      </w:r>
      <w:proofErr w:type="spellEnd"/>
      <w:r>
        <w:rPr>
          <w:lang w:val="hr-HR"/>
        </w:rPr>
        <w:t xml:space="preserve"> the </w:t>
      </w:r>
      <w:proofErr w:type="spellStart"/>
      <w:r>
        <w:rPr>
          <w:lang w:val="hr-HR"/>
        </w:rPr>
        <w:t>final</w:t>
      </w:r>
      <w:proofErr w:type="spellEnd"/>
      <w:r>
        <w:rPr>
          <w:lang w:val="hr-HR"/>
        </w:rPr>
        <w:t xml:space="preserve"> </w:t>
      </w:r>
      <w:proofErr w:type="spellStart"/>
      <w:r>
        <w:rPr>
          <w:lang w:val="hr-HR"/>
        </w:rPr>
        <w:t>report</w:t>
      </w:r>
      <w:proofErr w:type="spellEnd"/>
      <w:r>
        <w:rPr>
          <w:lang w:val="hr-HR"/>
        </w:rPr>
        <w:t xml:space="preserve"> </w:t>
      </w:r>
      <w:proofErr w:type="spellStart"/>
      <w:r>
        <w:rPr>
          <w:lang w:val="hr-HR"/>
        </w:rPr>
        <w:t>is</w:t>
      </w:r>
      <w:proofErr w:type="spellEnd"/>
      <w:r>
        <w:rPr>
          <w:lang w:val="hr-HR"/>
        </w:rPr>
        <w:t xml:space="preserve"> </w:t>
      </w:r>
      <w:proofErr w:type="spellStart"/>
      <w:r>
        <w:rPr>
          <w:lang w:val="hr-HR"/>
        </w:rPr>
        <w:t>submitted</w:t>
      </w:r>
      <w:proofErr w:type="spellEnd"/>
      <w:r>
        <w:rPr>
          <w:lang w:val="hr-HR"/>
        </w:rPr>
        <w:t xml:space="preserve"> to the </w:t>
      </w:r>
      <w:proofErr w:type="spellStart"/>
      <w:r>
        <w:rPr>
          <w:lang w:val="hr-HR"/>
        </w:rPr>
        <w:t>Ministry</w:t>
      </w:r>
      <w:proofErr w:type="spellEnd"/>
      <w:r>
        <w:rPr>
          <w:lang w:val="hr-HR"/>
        </w:rPr>
        <w:t xml:space="preserve">, at the </w:t>
      </w:r>
      <w:proofErr w:type="spellStart"/>
      <w:r>
        <w:rPr>
          <w:lang w:val="hr-HR"/>
        </w:rPr>
        <w:t>end</w:t>
      </w:r>
      <w:proofErr w:type="spellEnd"/>
      <w:r>
        <w:rPr>
          <w:lang w:val="hr-HR"/>
        </w:rPr>
        <w:t xml:space="preserve"> of </w:t>
      </w:r>
      <w:proofErr w:type="spellStart"/>
      <w:r>
        <w:rPr>
          <w:lang w:val="hr-HR"/>
        </w:rPr>
        <w:t>this</w:t>
      </w:r>
      <w:proofErr w:type="spellEnd"/>
      <w:r>
        <w:rPr>
          <w:lang w:val="hr-HR"/>
        </w:rPr>
        <w:t xml:space="preserve"> </w:t>
      </w:r>
      <w:proofErr w:type="spellStart"/>
      <w:r>
        <w:rPr>
          <w:lang w:val="hr-HR"/>
        </w:rPr>
        <w:t>month</w:t>
      </w:r>
      <w:proofErr w:type="spellEnd"/>
      <w:r>
        <w:rPr>
          <w:lang w:val="hr-HR"/>
        </w:rPr>
        <w:t xml:space="preserve">. </w:t>
      </w:r>
    </w:p>
    <w:p w14:paraId="672B8C8D" w14:textId="77777777" w:rsidR="00CE744F" w:rsidRDefault="00CE744F" w:rsidP="00CE744F">
      <w:r w:rsidRPr="00CE744F">
        <w:t xml:space="preserve">Income in fees </w:t>
      </w:r>
      <w:r>
        <w:t>is close to the expectation in the revised budget as accepted at the EC meeting in May 2023. Since reminders are sent for membership fees and unpaid course and conference fees, it is expected that the income in fees would be close to expectations.</w:t>
      </w:r>
      <w:r w:rsidRPr="00CE744F">
        <w:t xml:space="preserve">  </w:t>
      </w:r>
    </w:p>
    <w:p w14:paraId="6D8B22E4" w14:textId="3F9A9B3E" w:rsidR="00CE744F" w:rsidRPr="00CE744F" w:rsidRDefault="00CE744F" w:rsidP="00CE744F">
      <w:r w:rsidRPr="00CE744F">
        <w:t>The table shows income in fees</w:t>
      </w:r>
      <w:r>
        <w:t xml:space="preserve"> on 4 December</w:t>
      </w:r>
      <w:r w:rsidRPr="00CE744F">
        <w:t>:</w:t>
      </w:r>
    </w:p>
    <w:p w14:paraId="0DC681D0" w14:textId="77777777" w:rsidR="00CE744F" w:rsidRPr="00A976D4" w:rsidRDefault="00CE744F" w:rsidP="00CE744F">
      <w:pPr>
        <w:rPr>
          <w:sz w:val="24"/>
          <w:szCs w:val="24"/>
        </w:rPr>
      </w:pPr>
    </w:p>
    <w:tbl>
      <w:tblPr>
        <w:tblStyle w:val="TableGrid"/>
        <w:tblW w:w="0" w:type="auto"/>
        <w:tblLook w:val="04A0" w:firstRow="1" w:lastRow="0" w:firstColumn="1" w:lastColumn="0" w:noHBand="0" w:noVBand="1"/>
      </w:tblPr>
      <w:tblGrid>
        <w:gridCol w:w="3030"/>
        <w:gridCol w:w="3016"/>
        <w:gridCol w:w="3016"/>
      </w:tblGrid>
      <w:tr w:rsidR="00CE744F" w:rsidRPr="00A976D4" w14:paraId="06E8F55E" w14:textId="77777777" w:rsidTr="000D4431">
        <w:tc>
          <w:tcPr>
            <w:tcW w:w="3096" w:type="dxa"/>
          </w:tcPr>
          <w:p w14:paraId="136EBB24" w14:textId="77777777" w:rsidR="00CE744F" w:rsidRPr="00A976D4" w:rsidRDefault="00CE744F" w:rsidP="000D4431">
            <w:pPr>
              <w:jc w:val="center"/>
              <w:rPr>
                <w:sz w:val="24"/>
                <w:szCs w:val="24"/>
              </w:rPr>
            </w:pPr>
            <w:r w:rsidRPr="00A976D4">
              <w:rPr>
                <w:sz w:val="24"/>
                <w:szCs w:val="24"/>
              </w:rPr>
              <w:t>FEES IN EUR</w:t>
            </w:r>
          </w:p>
        </w:tc>
        <w:tc>
          <w:tcPr>
            <w:tcW w:w="3096" w:type="dxa"/>
          </w:tcPr>
          <w:p w14:paraId="1A0E1EDC" w14:textId="77777777" w:rsidR="00CE744F" w:rsidRPr="00A976D4" w:rsidRDefault="00CE744F" w:rsidP="000D4431">
            <w:pPr>
              <w:jc w:val="center"/>
              <w:rPr>
                <w:sz w:val="24"/>
                <w:szCs w:val="24"/>
              </w:rPr>
            </w:pPr>
            <w:r w:rsidRPr="00A976D4">
              <w:rPr>
                <w:sz w:val="24"/>
                <w:szCs w:val="24"/>
              </w:rPr>
              <w:t>Expected</w:t>
            </w:r>
          </w:p>
        </w:tc>
        <w:tc>
          <w:tcPr>
            <w:tcW w:w="3096" w:type="dxa"/>
          </w:tcPr>
          <w:p w14:paraId="2AC29C0A" w14:textId="63389EF5" w:rsidR="00CE744F" w:rsidRPr="00A976D4" w:rsidRDefault="00CE744F" w:rsidP="000D4431">
            <w:pPr>
              <w:jc w:val="center"/>
              <w:rPr>
                <w:sz w:val="24"/>
                <w:szCs w:val="24"/>
              </w:rPr>
            </w:pPr>
            <w:r w:rsidRPr="00A976D4">
              <w:rPr>
                <w:sz w:val="24"/>
                <w:szCs w:val="24"/>
              </w:rPr>
              <w:t>Received in 202</w:t>
            </w:r>
            <w:r>
              <w:rPr>
                <w:sz w:val="24"/>
                <w:szCs w:val="24"/>
              </w:rPr>
              <w:t>3</w:t>
            </w:r>
          </w:p>
        </w:tc>
      </w:tr>
      <w:tr w:rsidR="00CE744F" w:rsidRPr="00A976D4" w14:paraId="0676B125" w14:textId="77777777" w:rsidTr="000D4431">
        <w:tc>
          <w:tcPr>
            <w:tcW w:w="3096" w:type="dxa"/>
          </w:tcPr>
          <w:p w14:paraId="3219C06F" w14:textId="77777777" w:rsidR="00CE744F" w:rsidRPr="00A976D4" w:rsidRDefault="00CE744F" w:rsidP="000D4431">
            <w:pPr>
              <w:jc w:val="center"/>
              <w:rPr>
                <w:sz w:val="24"/>
                <w:szCs w:val="24"/>
              </w:rPr>
            </w:pPr>
            <w:r w:rsidRPr="00A976D4">
              <w:rPr>
                <w:sz w:val="24"/>
                <w:szCs w:val="24"/>
              </w:rPr>
              <w:t>Membership fee</w:t>
            </w:r>
          </w:p>
          <w:p w14:paraId="20F83F63" w14:textId="77777777" w:rsidR="00CE744F" w:rsidRPr="00A976D4" w:rsidRDefault="00CE744F" w:rsidP="000D4431">
            <w:pPr>
              <w:jc w:val="center"/>
              <w:rPr>
                <w:sz w:val="24"/>
                <w:szCs w:val="24"/>
              </w:rPr>
            </w:pPr>
            <w:r w:rsidRPr="00A976D4">
              <w:rPr>
                <w:sz w:val="24"/>
                <w:szCs w:val="24"/>
              </w:rPr>
              <w:t>500 Euro</w:t>
            </w:r>
          </w:p>
        </w:tc>
        <w:tc>
          <w:tcPr>
            <w:tcW w:w="3096" w:type="dxa"/>
          </w:tcPr>
          <w:p w14:paraId="6EA4835E" w14:textId="50301757" w:rsidR="00CE744F" w:rsidRPr="00A976D4" w:rsidRDefault="00CE744F" w:rsidP="000D4431">
            <w:pPr>
              <w:jc w:val="center"/>
              <w:rPr>
                <w:sz w:val="24"/>
                <w:szCs w:val="24"/>
              </w:rPr>
            </w:pPr>
            <w:r>
              <w:rPr>
                <w:sz w:val="24"/>
                <w:szCs w:val="24"/>
              </w:rPr>
              <w:t>24000</w:t>
            </w:r>
          </w:p>
        </w:tc>
        <w:tc>
          <w:tcPr>
            <w:tcW w:w="3096" w:type="dxa"/>
          </w:tcPr>
          <w:p w14:paraId="38509526" w14:textId="1E98020E" w:rsidR="00CE744F" w:rsidRPr="00A976D4" w:rsidRDefault="00CE744F" w:rsidP="000D4431">
            <w:pPr>
              <w:jc w:val="center"/>
              <w:rPr>
                <w:sz w:val="24"/>
                <w:szCs w:val="24"/>
              </w:rPr>
            </w:pPr>
            <w:r w:rsidRPr="00A976D4">
              <w:rPr>
                <w:sz w:val="24"/>
                <w:szCs w:val="24"/>
              </w:rPr>
              <w:t>2</w:t>
            </w:r>
            <w:r>
              <w:rPr>
                <w:sz w:val="24"/>
                <w:szCs w:val="24"/>
              </w:rPr>
              <w:t>1394</w:t>
            </w:r>
          </w:p>
        </w:tc>
      </w:tr>
      <w:tr w:rsidR="00CE744F" w:rsidRPr="00A976D4" w14:paraId="3520A439" w14:textId="77777777" w:rsidTr="000D4431">
        <w:tc>
          <w:tcPr>
            <w:tcW w:w="3096" w:type="dxa"/>
          </w:tcPr>
          <w:p w14:paraId="12767FDB" w14:textId="77777777" w:rsidR="00CE744F" w:rsidRPr="00A976D4" w:rsidRDefault="00CE744F" w:rsidP="000D4431">
            <w:pPr>
              <w:jc w:val="center"/>
              <w:rPr>
                <w:sz w:val="24"/>
                <w:szCs w:val="24"/>
              </w:rPr>
            </w:pPr>
            <w:r w:rsidRPr="00A976D4">
              <w:rPr>
                <w:sz w:val="24"/>
                <w:szCs w:val="24"/>
              </w:rPr>
              <w:t>General course fee</w:t>
            </w:r>
          </w:p>
          <w:p w14:paraId="6713BCDD" w14:textId="77777777" w:rsidR="00CE744F" w:rsidRPr="00A976D4" w:rsidRDefault="00CE744F" w:rsidP="000D4431">
            <w:pPr>
              <w:jc w:val="center"/>
              <w:rPr>
                <w:sz w:val="24"/>
                <w:szCs w:val="24"/>
              </w:rPr>
            </w:pPr>
            <w:r w:rsidRPr="00A976D4">
              <w:rPr>
                <w:sz w:val="24"/>
                <w:szCs w:val="24"/>
              </w:rPr>
              <w:t>600 Euro / 1000 Euro</w:t>
            </w:r>
          </w:p>
        </w:tc>
        <w:tc>
          <w:tcPr>
            <w:tcW w:w="3096" w:type="dxa"/>
          </w:tcPr>
          <w:p w14:paraId="7B414EFC" w14:textId="22ADACB8" w:rsidR="00CE744F" w:rsidRPr="00A976D4" w:rsidRDefault="00CE744F" w:rsidP="000D4431">
            <w:pPr>
              <w:jc w:val="center"/>
              <w:rPr>
                <w:sz w:val="24"/>
                <w:szCs w:val="24"/>
              </w:rPr>
            </w:pPr>
            <w:r>
              <w:rPr>
                <w:sz w:val="24"/>
                <w:szCs w:val="24"/>
              </w:rPr>
              <w:t>22</w:t>
            </w:r>
            <w:r w:rsidRPr="00A976D4">
              <w:rPr>
                <w:sz w:val="24"/>
                <w:szCs w:val="24"/>
              </w:rPr>
              <w:t>000</w:t>
            </w:r>
          </w:p>
        </w:tc>
        <w:tc>
          <w:tcPr>
            <w:tcW w:w="3096" w:type="dxa"/>
          </w:tcPr>
          <w:p w14:paraId="13801E8C" w14:textId="6CC99B5F" w:rsidR="00CE744F" w:rsidRPr="00A976D4" w:rsidRDefault="00CE744F" w:rsidP="000D4431">
            <w:pPr>
              <w:jc w:val="center"/>
              <w:rPr>
                <w:sz w:val="24"/>
                <w:szCs w:val="24"/>
              </w:rPr>
            </w:pPr>
            <w:r>
              <w:rPr>
                <w:sz w:val="24"/>
                <w:szCs w:val="24"/>
              </w:rPr>
              <w:t>18385</w:t>
            </w:r>
          </w:p>
        </w:tc>
      </w:tr>
      <w:tr w:rsidR="00CE744F" w:rsidRPr="00A976D4" w14:paraId="5A648563" w14:textId="77777777" w:rsidTr="000D4431">
        <w:tc>
          <w:tcPr>
            <w:tcW w:w="3096" w:type="dxa"/>
          </w:tcPr>
          <w:p w14:paraId="4048DD7F" w14:textId="77777777" w:rsidR="00CE744F" w:rsidRPr="00A976D4" w:rsidRDefault="00CE744F" w:rsidP="000D4431">
            <w:pPr>
              <w:jc w:val="center"/>
              <w:rPr>
                <w:sz w:val="24"/>
                <w:szCs w:val="24"/>
              </w:rPr>
            </w:pPr>
            <w:r w:rsidRPr="00A976D4">
              <w:rPr>
                <w:sz w:val="24"/>
                <w:szCs w:val="24"/>
              </w:rPr>
              <w:t>Course fee</w:t>
            </w:r>
          </w:p>
          <w:p w14:paraId="46663338" w14:textId="77777777" w:rsidR="00CE744F" w:rsidRPr="00A976D4" w:rsidRDefault="00CE744F" w:rsidP="000D4431">
            <w:pPr>
              <w:jc w:val="center"/>
              <w:rPr>
                <w:sz w:val="24"/>
                <w:szCs w:val="24"/>
              </w:rPr>
            </w:pPr>
            <w:r w:rsidRPr="00A976D4">
              <w:rPr>
                <w:sz w:val="24"/>
                <w:szCs w:val="24"/>
              </w:rPr>
              <w:t>50 Euro per participant</w:t>
            </w:r>
          </w:p>
          <w:p w14:paraId="59C7BC44" w14:textId="77777777" w:rsidR="00CE744F" w:rsidRPr="00A976D4" w:rsidRDefault="00CE744F" w:rsidP="000D4431">
            <w:pPr>
              <w:jc w:val="center"/>
              <w:rPr>
                <w:sz w:val="24"/>
                <w:szCs w:val="24"/>
              </w:rPr>
            </w:pPr>
            <w:r w:rsidRPr="00A976D4">
              <w:rPr>
                <w:sz w:val="24"/>
                <w:szCs w:val="24"/>
              </w:rPr>
              <w:t>25 Euro online participation</w:t>
            </w:r>
          </w:p>
        </w:tc>
        <w:tc>
          <w:tcPr>
            <w:tcW w:w="3096" w:type="dxa"/>
          </w:tcPr>
          <w:p w14:paraId="5E8E5D22" w14:textId="60017718" w:rsidR="00CE744F" w:rsidRPr="00A976D4" w:rsidRDefault="00CE744F" w:rsidP="000D4431">
            <w:pPr>
              <w:jc w:val="center"/>
              <w:rPr>
                <w:sz w:val="24"/>
                <w:szCs w:val="24"/>
              </w:rPr>
            </w:pPr>
            <w:r>
              <w:rPr>
                <w:sz w:val="24"/>
                <w:szCs w:val="24"/>
              </w:rPr>
              <w:t>30</w:t>
            </w:r>
            <w:r w:rsidRPr="00A976D4">
              <w:rPr>
                <w:sz w:val="24"/>
                <w:szCs w:val="24"/>
              </w:rPr>
              <w:t>000</w:t>
            </w:r>
          </w:p>
        </w:tc>
        <w:tc>
          <w:tcPr>
            <w:tcW w:w="3096" w:type="dxa"/>
          </w:tcPr>
          <w:p w14:paraId="1697D8CA" w14:textId="043C90D4" w:rsidR="00CE744F" w:rsidRPr="00A976D4" w:rsidRDefault="00CE744F" w:rsidP="000D4431">
            <w:pPr>
              <w:jc w:val="center"/>
              <w:rPr>
                <w:sz w:val="24"/>
                <w:szCs w:val="24"/>
              </w:rPr>
            </w:pPr>
            <w:r>
              <w:rPr>
                <w:sz w:val="24"/>
                <w:szCs w:val="24"/>
              </w:rPr>
              <w:t>26086</w:t>
            </w:r>
          </w:p>
        </w:tc>
      </w:tr>
      <w:tr w:rsidR="00CE744F" w:rsidRPr="00A976D4" w14:paraId="5E3B5CDB" w14:textId="77777777" w:rsidTr="000D4431">
        <w:tc>
          <w:tcPr>
            <w:tcW w:w="3096" w:type="dxa"/>
          </w:tcPr>
          <w:p w14:paraId="5D5E1628" w14:textId="77777777" w:rsidR="00CE744F" w:rsidRPr="00A976D4" w:rsidRDefault="00CE744F" w:rsidP="000D4431">
            <w:pPr>
              <w:jc w:val="center"/>
              <w:rPr>
                <w:sz w:val="24"/>
                <w:szCs w:val="24"/>
              </w:rPr>
            </w:pPr>
            <w:r w:rsidRPr="00A976D4">
              <w:rPr>
                <w:sz w:val="24"/>
                <w:szCs w:val="24"/>
              </w:rPr>
              <w:t>General conference fee</w:t>
            </w:r>
          </w:p>
          <w:p w14:paraId="7D84EBA5" w14:textId="77777777" w:rsidR="00CE744F" w:rsidRPr="00A976D4" w:rsidRDefault="00CE744F" w:rsidP="000D4431">
            <w:pPr>
              <w:jc w:val="center"/>
              <w:rPr>
                <w:sz w:val="24"/>
                <w:szCs w:val="24"/>
              </w:rPr>
            </w:pPr>
            <w:r w:rsidRPr="00A976D4">
              <w:rPr>
                <w:sz w:val="24"/>
                <w:szCs w:val="24"/>
              </w:rPr>
              <w:t>100 Euro / 500 Euro</w:t>
            </w:r>
          </w:p>
        </w:tc>
        <w:tc>
          <w:tcPr>
            <w:tcW w:w="3096" w:type="dxa"/>
          </w:tcPr>
          <w:p w14:paraId="6F512774" w14:textId="4FB6B8FA" w:rsidR="00CE744F" w:rsidRPr="00A976D4" w:rsidRDefault="00CE744F" w:rsidP="000D4431">
            <w:pPr>
              <w:jc w:val="center"/>
              <w:rPr>
                <w:sz w:val="24"/>
                <w:szCs w:val="24"/>
              </w:rPr>
            </w:pPr>
            <w:r w:rsidRPr="00A976D4">
              <w:rPr>
                <w:sz w:val="24"/>
                <w:szCs w:val="24"/>
              </w:rPr>
              <w:t>1</w:t>
            </w:r>
            <w:r>
              <w:rPr>
                <w:sz w:val="24"/>
                <w:szCs w:val="24"/>
              </w:rPr>
              <w:t>0</w:t>
            </w:r>
            <w:r w:rsidRPr="00A976D4">
              <w:rPr>
                <w:sz w:val="24"/>
                <w:szCs w:val="24"/>
              </w:rPr>
              <w:t>00</w:t>
            </w:r>
          </w:p>
        </w:tc>
        <w:tc>
          <w:tcPr>
            <w:tcW w:w="3096" w:type="dxa"/>
          </w:tcPr>
          <w:p w14:paraId="17637991" w14:textId="233C1D8A" w:rsidR="00CE744F" w:rsidRPr="00A976D4" w:rsidRDefault="00CE744F" w:rsidP="000D4431">
            <w:pPr>
              <w:jc w:val="center"/>
              <w:rPr>
                <w:sz w:val="24"/>
                <w:szCs w:val="24"/>
              </w:rPr>
            </w:pPr>
            <w:r>
              <w:rPr>
                <w:sz w:val="24"/>
                <w:szCs w:val="24"/>
              </w:rPr>
              <w:t>850</w:t>
            </w:r>
          </w:p>
        </w:tc>
      </w:tr>
      <w:tr w:rsidR="00CE744F" w:rsidRPr="00A976D4" w14:paraId="54A35A14" w14:textId="77777777" w:rsidTr="000D4431">
        <w:tc>
          <w:tcPr>
            <w:tcW w:w="3096" w:type="dxa"/>
          </w:tcPr>
          <w:p w14:paraId="26662BB4" w14:textId="77777777" w:rsidR="00CE744F" w:rsidRPr="00A976D4" w:rsidRDefault="00CE744F" w:rsidP="000D4431">
            <w:pPr>
              <w:jc w:val="center"/>
              <w:rPr>
                <w:sz w:val="24"/>
                <w:szCs w:val="24"/>
              </w:rPr>
            </w:pPr>
            <w:r w:rsidRPr="00A976D4">
              <w:rPr>
                <w:sz w:val="24"/>
                <w:szCs w:val="24"/>
              </w:rPr>
              <w:t>Conference fee</w:t>
            </w:r>
          </w:p>
          <w:p w14:paraId="38A772AE" w14:textId="77777777" w:rsidR="00CE744F" w:rsidRPr="00A976D4" w:rsidRDefault="00CE744F" w:rsidP="000D4431">
            <w:pPr>
              <w:jc w:val="center"/>
              <w:rPr>
                <w:sz w:val="24"/>
                <w:szCs w:val="24"/>
              </w:rPr>
            </w:pPr>
            <w:r w:rsidRPr="00A976D4">
              <w:rPr>
                <w:sz w:val="24"/>
                <w:szCs w:val="24"/>
              </w:rPr>
              <w:t>50 Euro per participant</w:t>
            </w:r>
          </w:p>
          <w:p w14:paraId="0AE75255" w14:textId="77777777" w:rsidR="00CE744F" w:rsidRPr="00A976D4" w:rsidRDefault="00CE744F" w:rsidP="000D4431">
            <w:pPr>
              <w:jc w:val="center"/>
              <w:rPr>
                <w:sz w:val="24"/>
                <w:szCs w:val="24"/>
              </w:rPr>
            </w:pPr>
            <w:r w:rsidRPr="00A976D4">
              <w:rPr>
                <w:sz w:val="24"/>
                <w:szCs w:val="24"/>
              </w:rPr>
              <w:t>25 Euro online participation</w:t>
            </w:r>
          </w:p>
        </w:tc>
        <w:tc>
          <w:tcPr>
            <w:tcW w:w="3096" w:type="dxa"/>
          </w:tcPr>
          <w:p w14:paraId="674E478A" w14:textId="77777777" w:rsidR="00CE744F" w:rsidRPr="00A976D4" w:rsidRDefault="00CE744F" w:rsidP="000D4431">
            <w:pPr>
              <w:jc w:val="center"/>
              <w:rPr>
                <w:sz w:val="24"/>
                <w:szCs w:val="24"/>
              </w:rPr>
            </w:pPr>
            <w:r w:rsidRPr="00A976D4">
              <w:rPr>
                <w:sz w:val="24"/>
                <w:szCs w:val="24"/>
              </w:rPr>
              <w:t>15000</w:t>
            </w:r>
          </w:p>
        </w:tc>
        <w:tc>
          <w:tcPr>
            <w:tcW w:w="3096" w:type="dxa"/>
          </w:tcPr>
          <w:p w14:paraId="411B6FF8" w14:textId="336D6436" w:rsidR="00CE744F" w:rsidRPr="00A976D4" w:rsidRDefault="00CE744F" w:rsidP="000D4431">
            <w:pPr>
              <w:jc w:val="center"/>
              <w:rPr>
                <w:sz w:val="24"/>
                <w:szCs w:val="24"/>
              </w:rPr>
            </w:pPr>
            <w:r w:rsidRPr="00A976D4">
              <w:rPr>
                <w:sz w:val="24"/>
                <w:szCs w:val="24"/>
              </w:rPr>
              <w:t>1</w:t>
            </w:r>
            <w:r>
              <w:rPr>
                <w:sz w:val="24"/>
                <w:szCs w:val="24"/>
              </w:rPr>
              <w:t>9975</w:t>
            </w:r>
          </w:p>
        </w:tc>
      </w:tr>
      <w:tr w:rsidR="00CE744F" w:rsidRPr="00A976D4" w14:paraId="456BC651" w14:textId="77777777" w:rsidTr="000D4431">
        <w:tc>
          <w:tcPr>
            <w:tcW w:w="3096" w:type="dxa"/>
          </w:tcPr>
          <w:p w14:paraId="19C39B11" w14:textId="77777777" w:rsidR="00CE744F" w:rsidRPr="00A976D4" w:rsidRDefault="00CE744F" w:rsidP="000D4431">
            <w:pPr>
              <w:jc w:val="center"/>
              <w:rPr>
                <w:b/>
                <w:sz w:val="24"/>
                <w:szCs w:val="24"/>
              </w:rPr>
            </w:pPr>
            <w:r w:rsidRPr="00A976D4">
              <w:rPr>
                <w:b/>
                <w:sz w:val="24"/>
                <w:szCs w:val="24"/>
              </w:rPr>
              <w:t>TOTAL:</w:t>
            </w:r>
          </w:p>
        </w:tc>
        <w:tc>
          <w:tcPr>
            <w:tcW w:w="3096" w:type="dxa"/>
          </w:tcPr>
          <w:p w14:paraId="0020A0F0" w14:textId="048D9928" w:rsidR="00CE744F" w:rsidRPr="00A976D4" w:rsidRDefault="00CE744F" w:rsidP="000D4431">
            <w:pPr>
              <w:jc w:val="center"/>
              <w:rPr>
                <w:b/>
                <w:sz w:val="24"/>
                <w:szCs w:val="24"/>
              </w:rPr>
            </w:pPr>
            <w:r>
              <w:rPr>
                <w:b/>
                <w:sz w:val="24"/>
                <w:szCs w:val="24"/>
              </w:rPr>
              <w:t>92000</w:t>
            </w:r>
          </w:p>
        </w:tc>
        <w:tc>
          <w:tcPr>
            <w:tcW w:w="3096" w:type="dxa"/>
          </w:tcPr>
          <w:p w14:paraId="7ECACEC8" w14:textId="77777777" w:rsidR="00CE744F" w:rsidRPr="00A976D4" w:rsidRDefault="00CE744F" w:rsidP="000D4431">
            <w:pPr>
              <w:jc w:val="center"/>
              <w:rPr>
                <w:b/>
                <w:sz w:val="24"/>
                <w:szCs w:val="24"/>
              </w:rPr>
            </w:pPr>
            <w:r w:rsidRPr="00A976D4">
              <w:rPr>
                <w:b/>
                <w:sz w:val="24"/>
                <w:szCs w:val="24"/>
              </w:rPr>
              <w:t>84730</w:t>
            </w:r>
          </w:p>
        </w:tc>
      </w:tr>
    </w:tbl>
    <w:p w14:paraId="52A3FCCC" w14:textId="77777777" w:rsidR="00CE744F" w:rsidRDefault="00CE744F" w:rsidP="00CE744F">
      <w:pPr>
        <w:rPr>
          <w:sz w:val="24"/>
          <w:szCs w:val="24"/>
        </w:rPr>
      </w:pPr>
    </w:p>
    <w:p w14:paraId="4304019A" w14:textId="77777777" w:rsidR="00B01F86" w:rsidRPr="00A976D4" w:rsidRDefault="00B01F86" w:rsidP="00B01F86">
      <w:pPr>
        <w:rPr>
          <w:sz w:val="24"/>
          <w:szCs w:val="24"/>
        </w:rPr>
      </w:pPr>
      <w:r w:rsidRPr="00A976D4">
        <w:rPr>
          <w:sz w:val="24"/>
          <w:szCs w:val="24"/>
        </w:rPr>
        <w:t>A</w:t>
      </w:r>
      <w:r>
        <w:rPr>
          <w:sz w:val="24"/>
          <w:szCs w:val="24"/>
        </w:rPr>
        <w:t xml:space="preserve">dditional </w:t>
      </w:r>
      <w:r w:rsidRPr="00A976D4">
        <w:rPr>
          <w:sz w:val="24"/>
          <w:szCs w:val="24"/>
        </w:rPr>
        <w:t xml:space="preserve">income </w:t>
      </w:r>
      <w:r>
        <w:rPr>
          <w:sz w:val="24"/>
          <w:szCs w:val="24"/>
        </w:rPr>
        <w:t xml:space="preserve">item </w:t>
      </w:r>
      <w:r w:rsidRPr="00A976D4">
        <w:rPr>
          <w:sz w:val="24"/>
          <w:szCs w:val="24"/>
        </w:rPr>
        <w:t>is coming from WITEA-ID – an EU project (</w:t>
      </w:r>
      <w:r>
        <w:rPr>
          <w:sz w:val="24"/>
          <w:szCs w:val="24"/>
        </w:rPr>
        <w:t>7680 Euro</w:t>
      </w:r>
      <w:r w:rsidRPr="00A976D4">
        <w:rPr>
          <w:sz w:val="24"/>
          <w:szCs w:val="24"/>
        </w:rPr>
        <w:t>)</w:t>
      </w:r>
    </w:p>
    <w:p w14:paraId="0BBE3C54" w14:textId="03DE2459" w:rsidR="00B01F86" w:rsidRDefault="00B01F86" w:rsidP="00B01F86">
      <w:pPr>
        <w:rPr>
          <w:rFonts w:cstheme="minorHAnsi"/>
          <w:color w:val="010727"/>
          <w:sz w:val="24"/>
          <w:szCs w:val="24"/>
        </w:rPr>
      </w:pPr>
      <w:r w:rsidRPr="00A976D4">
        <w:rPr>
          <w:rFonts w:cstheme="minorHAnsi"/>
          <w:color w:val="010727"/>
          <w:sz w:val="24"/>
          <w:szCs w:val="24"/>
        </w:rPr>
        <w:t xml:space="preserve">Marija and Mirjan </w:t>
      </w:r>
      <w:proofErr w:type="spellStart"/>
      <w:r w:rsidRPr="00A976D4">
        <w:rPr>
          <w:rFonts w:cstheme="minorHAnsi"/>
          <w:color w:val="010727"/>
          <w:sz w:val="24"/>
          <w:szCs w:val="24"/>
        </w:rPr>
        <w:t>Damaška</w:t>
      </w:r>
      <w:proofErr w:type="spellEnd"/>
      <w:r w:rsidRPr="00A976D4">
        <w:rPr>
          <w:rFonts w:cstheme="minorHAnsi"/>
          <w:color w:val="010727"/>
          <w:sz w:val="24"/>
          <w:szCs w:val="24"/>
        </w:rPr>
        <w:t xml:space="preserve"> fund</w:t>
      </w:r>
      <w:r>
        <w:rPr>
          <w:rFonts w:cstheme="minorHAnsi"/>
          <w:color w:val="010727"/>
          <w:sz w:val="24"/>
          <w:szCs w:val="24"/>
        </w:rPr>
        <w:t>s are kept at the separate</w:t>
      </w:r>
      <w:r w:rsidRPr="00A976D4">
        <w:rPr>
          <w:rFonts w:cstheme="minorHAnsi"/>
          <w:color w:val="010727"/>
          <w:sz w:val="24"/>
          <w:szCs w:val="24"/>
        </w:rPr>
        <w:t xml:space="preserve"> sub-account </w:t>
      </w:r>
      <w:r>
        <w:rPr>
          <w:rFonts w:cstheme="minorHAnsi"/>
          <w:color w:val="010727"/>
          <w:sz w:val="24"/>
          <w:szCs w:val="24"/>
        </w:rPr>
        <w:t xml:space="preserve">and only spent amounts are transferred which </w:t>
      </w:r>
      <w:r w:rsidR="00267DA0">
        <w:rPr>
          <w:rFonts w:cstheme="minorHAnsi"/>
          <w:color w:val="010727"/>
          <w:sz w:val="24"/>
          <w:szCs w:val="24"/>
        </w:rPr>
        <w:t>for 2023 amounted to 3737 Euro.</w:t>
      </w:r>
    </w:p>
    <w:p w14:paraId="23347142" w14:textId="77777777" w:rsidR="00267DA0" w:rsidRDefault="00267DA0" w:rsidP="00267DA0">
      <w:pPr>
        <w:rPr>
          <w:b/>
          <w:bCs/>
          <w:sz w:val="24"/>
          <w:szCs w:val="24"/>
        </w:rPr>
      </w:pPr>
    </w:p>
    <w:p w14:paraId="6A427754" w14:textId="4A6BC369" w:rsidR="00267DA0" w:rsidRPr="00A976D4" w:rsidRDefault="00267DA0" w:rsidP="00267DA0">
      <w:pPr>
        <w:rPr>
          <w:b/>
          <w:bCs/>
          <w:sz w:val="24"/>
          <w:szCs w:val="24"/>
        </w:rPr>
      </w:pPr>
      <w:r w:rsidRPr="00A976D4">
        <w:rPr>
          <w:b/>
          <w:bCs/>
          <w:sz w:val="24"/>
          <w:szCs w:val="24"/>
        </w:rPr>
        <w:t>Expenditures</w:t>
      </w:r>
    </w:p>
    <w:p w14:paraId="41802C95" w14:textId="225C017F" w:rsidR="00267DA0" w:rsidRDefault="00267DA0" w:rsidP="00267DA0">
      <w:pPr>
        <w:rPr>
          <w:sz w:val="24"/>
          <w:szCs w:val="24"/>
        </w:rPr>
      </w:pPr>
      <w:r>
        <w:rPr>
          <w:sz w:val="24"/>
          <w:szCs w:val="24"/>
        </w:rPr>
        <w:t>81235</w:t>
      </w:r>
      <w:r w:rsidRPr="00A976D4">
        <w:rPr>
          <w:sz w:val="24"/>
          <w:szCs w:val="24"/>
        </w:rPr>
        <w:t xml:space="preserve"> Euro has been spent on scholarships for Croatian participants</w:t>
      </w:r>
      <w:r>
        <w:rPr>
          <w:sz w:val="24"/>
          <w:szCs w:val="24"/>
        </w:rPr>
        <w:t>, which is app. 6000 Euros more than what was planned in the budget</w:t>
      </w:r>
      <w:r w:rsidRPr="00A976D4">
        <w:rPr>
          <w:sz w:val="24"/>
          <w:szCs w:val="24"/>
        </w:rPr>
        <w:t>.</w:t>
      </w:r>
      <w:r>
        <w:rPr>
          <w:sz w:val="24"/>
          <w:szCs w:val="24"/>
        </w:rPr>
        <w:t xml:space="preserve"> The difference happened due to high accommodation prices. Part of the difference would be reported to the Ministry but part would have to be covered </w:t>
      </w:r>
      <w:r w:rsidR="003E73BF">
        <w:rPr>
          <w:sz w:val="24"/>
          <w:szCs w:val="24"/>
        </w:rPr>
        <w:t>from the leftover Ministry scholarship funds from previous years</w:t>
      </w:r>
      <w:r>
        <w:rPr>
          <w:sz w:val="24"/>
          <w:szCs w:val="24"/>
        </w:rPr>
        <w:t xml:space="preserve">. </w:t>
      </w:r>
    </w:p>
    <w:p w14:paraId="12E8D159" w14:textId="7EF1674B" w:rsidR="00267DA0" w:rsidRPr="00A976D4" w:rsidRDefault="00DA4922" w:rsidP="00267DA0">
      <w:pPr>
        <w:rPr>
          <w:sz w:val="24"/>
          <w:szCs w:val="24"/>
        </w:rPr>
      </w:pPr>
      <w:r>
        <w:rPr>
          <w:sz w:val="24"/>
          <w:szCs w:val="24"/>
        </w:rPr>
        <w:t>U</w:t>
      </w:r>
      <w:r w:rsidR="00267DA0">
        <w:rPr>
          <w:sz w:val="24"/>
          <w:szCs w:val="24"/>
        </w:rPr>
        <w:t xml:space="preserve">tility costs to University of Zagreb </w:t>
      </w:r>
      <w:r>
        <w:rPr>
          <w:sz w:val="24"/>
          <w:szCs w:val="24"/>
        </w:rPr>
        <w:t xml:space="preserve">have not been paid yet. Since the contract is not yet signed, the IUC has requested that utility costs are calculated based on the previous </w:t>
      </w:r>
      <w:r>
        <w:rPr>
          <w:sz w:val="24"/>
          <w:szCs w:val="24"/>
        </w:rPr>
        <w:lastRenderedPageBreak/>
        <w:t>contract, as a technical solution until the new one is signed. It is not known what would be the IUC’s part of utility bills for the operation in the building. The utility costs generally have increased significantly, especially electricity bills.</w:t>
      </w:r>
    </w:p>
    <w:p w14:paraId="696FAB8C" w14:textId="77777777" w:rsidR="00DA4922" w:rsidRDefault="00DA4922" w:rsidP="00267DA0">
      <w:pPr>
        <w:rPr>
          <w:sz w:val="24"/>
          <w:szCs w:val="24"/>
        </w:rPr>
      </w:pPr>
      <w:r>
        <w:rPr>
          <w:sz w:val="24"/>
          <w:szCs w:val="24"/>
        </w:rPr>
        <w:t>1835 Euros has been spent on IUC SE European Scholarship fund (3 grantees).</w:t>
      </w:r>
    </w:p>
    <w:p w14:paraId="0CA36E1E" w14:textId="77777777" w:rsidR="00DA4922" w:rsidRDefault="00DA4922" w:rsidP="00267DA0">
      <w:pPr>
        <w:rPr>
          <w:sz w:val="24"/>
          <w:szCs w:val="24"/>
        </w:rPr>
      </w:pPr>
      <w:r>
        <w:rPr>
          <w:sz w:val="24"/>
          <w:szCs w:val="24"/>
        </w:rPr>
        <w:t xml:space="preserve">3738 Euros has been spent on </w:t>
      </w:r>
      <w:proofErr w:type="spellStart"/>
      <w:r>
        <w:rPr>
          <w:sz w:val="24"/>
          <w:szCs w:val="24"/>
        </w:rPr>
        <w:t>Damaška</w:t>
      </w:r>
      <w:proofErr w:type="spellEnd"/>
      <w:r>
        <w:rPr>
          <w:sz w:val="24"/>
          <w:szCs w:val="24"/>
        </w:rPr>
        <w:t xml:space="preserve"> fund (6 grantees). </w:t>
      </w:r>
    </w:p>
    <w:p w14:paraId="278826A9" w14:textId="3B9F97CD" w:rsidR="00DA4922" w:rsidRDefault="00DA4922" w:rsidP="00267DA0">
      <w:pPr>
        <w:rPr>
          <w:sz w:val="24"/>
          <w:szCs w:val="24"/>
        </w:rPr>
      </w:pPr>
      <w:r>
        <w:rPr>
          <w:sz w:val="24"/>
          <w:szCs w:val="24"/>
        </w:rPr>
        <w:t xml:space="preserve">4432 Euros has been used on Student help since </w:t>
      </w:r>
      <w:r w:rsidR="00517BF6">
        <w:rPr>
          <w:sz w:val="24"/>
          <w:szCs w:val="24"/>
        </w:rPr>
        <w:t>the IUC was not able to secure planned interns.</w:t>
      </w:r>
    </w:p>
    <w:p w14:paraId="7A5DFCE3" w14:textId="0CA6154A" w:rsidR="00267DA0" w:rsidRDefault="00267DA0" w:rsidP="00267DA0">
      <w:pPr>
        <w:rPr>
          <w:sz w:val="24"/>
          <w:szCs w:val="24"/>
        </w:rPr>
      </w:pPr>
      <w:r w:rsidRPr="00A976D4">
        <w:rPr>
          <w:sz w:val="24"/>
          <w:szCs w:val="24"/>
        </w:rPr>
        <w:t>All expenses were close to budget estimate</w:t>
      </w:r>
      <w:r w:rsidR="00517BF6">
        <w:rPr>
          <w:sz w:val="24"/>
          <w:szCs w:val="24"/>
        </w:rPr>
        <w:t>s</w:t>
      </w:r>
      <w:r w:rsidRPr="00A976D4">
        <w:rPr>
          <w:sz w:val="24"/>
          <w:szCs w:val="24"/>
        </w:rPr>
        <w:t xml:space="preserve">, except </w:t>
      </w:r>
      <w:r w:rsidR="00DA4922">
        <w:rPr>
          <w:sz w:val="24"/>
          <w:szCs w:val="24"/>
        </w:rPr>
        <w:t>web development and visibility due to lack of time to undertake these projects</w:t>
      </w:r>
      <w:r w:rsidRPr="00A976D4">
        <w:rPr>
          <w:sz w:val="24"/>
          <w:szCs w:val="24"/>
        </w:rPr>
        <w:t>.</w:t>
      </w:r>
    </w:p>
    <w:p w14:paraId="3EA918FE" w14:textId="6B6B287E" w:rsidR="00517BF6" w:rsidRDefault="00517BF6" w:rsidP="00267DA0">
      <w:pPr>
        <w:rPr>
          <w:sz w:val="24"/>
          <w:szCs w:val="24"/>
        </w:rPr>
      </w:pPr>
      <w:r>
        <w:rPr>
          <w:sz w:val="24"/>
          <w:szCs w:val="24"/>
        </w:rPr>
        <w:t>The final budget would depend on the bills submitted by the University of Zagreb. If no bills would be submitted the IUC budget would remain in significant surplus (between 25 and 30000 Euros).</w:t>
      </w:r>
    </w:p>
    <w:p w14:paraId="31FCCDB1" w14:textId="2BEA679D" w:rsidR="00267DA0" w:rsidRPr="00A976D4" w:rsidRDefault="00267DA0" w:rsidP="00267DA0">
      <w:pPr>
        <w:rPr>
          <w:b/>
          <w:bCs/>
          <w:sz w:val="24"/>
          <w:szCs w:val="24"/>
        </w:rPr>
      </w:pPr>
      <w:r w:rsidRPr="00A976D4">
        <w:rPr>
          <w:b/>
          <w:bCs/>
          <w:sz w:val="24"/>
          <w:szCs w:val="24"/>
        </w:rPr>
        <w:t>Please note that the final numbers would be available at the beginning of next year. Mr. Hans Egil Offerdal would do the final auditing in spring 202</w:t>
      </w:r>
      <w:r w:rsidR="00517BF6">
        <w:rPr>
          <w:b/>
          <w:bCs/>
          <w:sz w:val="24"/>
          <w:szCs w:val="24"/>
        </w:rPr>
        <w:t>4</w:t>
      </w:r>
      <w:r w:rsidRPr="00A976D4">
        <w:rPr>
          <w:b/>
          <w:bCs/>
          <w:sz w:val="24"/>
          <w:szCs w:val="24"/>
        </w:rPr>
        <w:t xml:space="preserve"> and prepare the final financial report. His </w:t>
      </w:r>
      <w:r>
        <w:rPr>
          <w:b/>
          <w:bCs/>
          <w:sz w:val="24"/>
          <w:szCs w:val="24"/>
        </w:rPr>
        <w:t xml:space="preserve">financial </w:t>
      </w:r>
      <w:r w:rsidRPr="00A976D4">
        <w:rPr>
          <w:b/>
          <w:bCs/>
          <w:sz w:val="24"/>
          <w:szCs w:val="24"/>
        </w:rPr>
        <w:t>report for the year 202</w:t>
      </w:r>
      <w:r w:rsidR="00517BF6">
        <w:rPr>
          <w:b/>
          <w:bCs/>
          <w:sz w:val="24"/>
          <w:szCs w:val="24"/>
        </w:rPr>
        <w:t>2</w:t>
      </w:r>
      <w:r>
        <w:rPr>
          <w:b/>
          <w:bCs/>
          <w:sz w:val="24"/>
          <w:szCs w:val="24"/>
        </w:rPr>
        <w:t xml:space="preserve"> as well as final Budget for 202</w:t>
      </w:r>
      <w:r w:rsidR="00517BF6">
        <w:rPr>
          <w:b/>
          <w:bCs/>
          <w:sz w:val="24"/>
          <w:szCs w:val="24"/>
        </w:rPr>
        <w:t>3</w:t>
      </w:r>
      <w:r w:rsidRPr="00A976D4">
        <w:rPr>
          <w:b/>
          <w:bCs/>
          <w:sz w:val="24"/>
          <w:szCs w:val="24"/>
        </w:rPr>
        <w:t xml:space="preserve"> is appended.</w:t>
      </w:r>
    </w:p>
    <w:p w14:paraId="34493EA7" w14:textId="4751062C" w:rsidR="00267DA0" w:rsidRPr="00A976D4" w:rsidRDefault="00267DA0" w:rsidP="00B01F86">
      <w:pPr>
        <w:rPr>
          <w:sz w:val="24"/>
          <w:szCs w:val="24"/>
        </w:rPr>
      </w:pPr>
    </w:p>
    <w:p w14:paraId="3E7C5635" w14:textId="77777777" w:rsidR="00B01F86" w:rsidRPr="00A976D4" w:rsidRDefault="00B01F86" w:rsidP="00CE744F">
      <w:pPr>
        <w:rPr>
          <w:sz w:val="24"/>
          <w:szCs w:val="24"/>
        </w:rPr>
      </w:pPr>
    </w:p>
    <w:p w14:paraId="1DB9CC82" w14:textId="480B1E03" w:rsidR="00DF76B0" w:rsidRPr="00DF76B0" w:rsidRDefault="00DF76B0" w:rsidP="00CE744F">
      <w:pPr>
        <w:rPr>
          <w:lang w:val="hr-HR"/>
        </w:rPr>
      </w:pPr>
    </w:p>
    <w:sectPr w:rsidR="00DF76B0" w:rsidRPr="00DF76B0" w:rsidSect="00720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B0"/>
    <w:rsid w:val="00154E44"/>
    <w:rsid w:val="00267DA0"/>
    <w:rsid w:val="003D50FB"/>
    <w:rsid w:val="003E73BF"/>
    <w:rsid w:val="0042120D"/>
    <w:rsid w:val="004F4115"/>
    <w:rsid w:val="00517BF6"/>
    <w:rsid w:val="007207E3"/>
    <w:rsid w:val="00B01F86"/>
    <w:rsid w:val="00CE744F"/>
    <w:rsid w:val="00DA4922"/>
    <w:rsid w:val="00DF76B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F1C4"/>
  <w15:chartTrackingRefBased/>
  <w15:docId w15:val="{C425304D-0970-46EB-AA87-75C06A38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Bruer</dc:creator>
  <cp:keywords/>
  <dc:description/>
  <cp:lastModifiedBy>Nada Bruer</cp:lastModifiedBy>
  <cp:revision>3</cp:revision>
  <dcterms:created xsi:type="dcterms:W3CDTF">2023-12-04T11:13:00Z</dcterms:created>
  <dcterms:modified xsi:type="dcterms:W3CDTF">2023-12-05T14:11:00Z</dcterms:modified>
</cp:coreProperties>
</file>