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DF2AE" w14:textId="124AB662" w:rsidR="00B127E5" w:rsidRPr="00AA6819" w:rsidRDefault="008F6E90" w:rsidP="279B9A99">
      <w:pPr>
        <w:rPr>
          <w:sz w:val="22"/>
          <w:szCs w:val="22"/>
        </w:rPr>
      </w:pPr>
      <w:r>
        <w:rPr>
          <w:sz w:val="22"/>
          <w:szCs w:val="22"/>
        </w:rPr>
        <w:t>IUC Philosophy of Art</w:t>
      </w:r>
      <w:r w:rsidR="00506369">
        <w:rPr>
          <w:sz w:val="22"/>
          <w:szCs w:val="22"/>
        </w:rPr>
        <w:t>,</w:t>
      </w:r>
      <w:r>
        <w:rPr>
          <w:sz w:val="22"/>
          <w:szCs w:val="22"/>
        </w:rPr>
        <w:t xml:space="preserve"> </w:t>
      </w:r>
      <w:r w:rsidR="00506369">
        <w:rPr>
          <w:sz w:val="22"/>
          <w:szCs w:val="22"/>
        </w:rPr>
        <w:t>Dubrovnik</w:t>
      </w:r>
      <w:bookmarkStart w:id="0" w:name="_GoBack"/>
      <w:bookmarkEnd w:id="0"/>
    </w:p>
    <w:p w14:paraId="3A93C49E" w14:textId="77777777" w:rsidR="00B127E5" w:rsidRPr="00AA6819" w:rsidRDefault="00B127E5" w:rsidP="00B127E5">
      <w:pPr>
        <w:rPr>
          <w:rFonts w:cstheme="minorHAnsi"/>
          <w:sz w:val="22"/>
          <w:szCs w:val="22"/>
        </w:rPr>
      </w:pPr>
    </w:p>
    <w:p w14:paraId="51EABF35" w14:textId="55715E1F" w:rsidR="00B127E5" w:rsidRPr="007F1A3B" w:rsidRDefault="279B9A99" w:rsidP="00B127E5">
      <w:pPr>
        <w:pStyle w:val="StandardWeb"/>
        <w:rPr>
          <w:rFonts w:asciiTheme="minorHAnsi" w:hAnsiTheme="minorHAnsi" w:cstheme="minorHAnsi"/>
          <w:sz w:val="22"/>
          <w:szCs w:val="22"/>
        </w:rPr>
      </w:pPr>
      <w:r w:rsidRPr="279B9A99">
        <w:rPr>
          <w:rFonts w:asciiTheme="minorHAnsi" w:hAnsiTheme="minorHAnsi" w:cstheme="minorBidi"/>
          <w:sz w:val="22"/>
          <w:szCs w:val="22"/>
        </w:rPr>
        <w:t>Philosophers of art study philosophical questions relating both to the arts in general and to individual art-forms. More general questions include the nature of art and of the artwork, the nature of artistic appreciation and interpretation, and the nature of artistic value. Questions posed by individual art-forms include the nature of pictorial representation (‘depiction’), of fiction, of musical expression, and of artistic performance (or depiction). Philosophy of art is usually taken to be part of the broader field of Aesthetics, which addresses, without specific reference to the arts, the nature of aesthetic properties and aesthetic experience. Philosophers of art and aestheticians welcome dialogue with other scholars whose domain of study is the arts, such as art historians and those working in cognitive science on topics relating to aesthetic and artistic experience.</w:t>
      </w:r>
    </w:p>
    <w:p w14:paraId="3A0839C9" w14:textId="2BC46330" w:rsidR="279B9A99" w:rsidRDefault="279B9A99" w:rsidP="279B9A99">
      <w:pPr>
        <w:pStyle w:val="StandardWeb"/>
        <w:rPr>
          <w:sz w:val="22"/>
          <w:szCs w:val="22"/>
        </w:rPr>
      </w:pPr>
    </w:p>
    <w:p w14:paraId="35B63DFB" w14:textId="77777777" w:rsidR="00B127E5" w:rsidRDefault="00B127E5" w:rsidP="00B127E5">
      <w:pPr>
        <w:rPr>
          <w:rFonts w:cstheme="minorHAnsi"/>
          <w:sz w:val="22"/>
          <w:szCs w:val="22"/>
        </w:rPr>
      </w:pPr>
      <w:r w:rsidRPr="00AA6819">
        <w:rPr>
          <w:rFonts w:cstheme="minorHAnsi"/>
          <w:sz w:val="22"/>
          <w:szCs w:val="22"/>
        </w:rPr>
        <w:t xml:space="preserve">The annual </w:t>
      </w:r>
      <w:r>
        <w:rPr>
          <w:rFonts w:cstheme="minorHAnsi"/>
          <w:sz w:val="22"/>
          <w:szCs w:val="22"/>
        </w:rPr>
        <w:t>Philosophy of Art conference moves online this year, and will take place over two days, Tuesday 13</w:t>
      </w:r>
      <w:r w:rsidRPr="00AA6819">
        <w:rPr>
          <w:rFonts w:cstheme="minorHAnsi"/>
          <w:sz w:val="22"/>
          <w:szCs w:val="22"/>
          <w:vertAlign w:val="superscript"/>
        </w:rPr>
        <w:t>th</w:t>
      </w:r>
      <w:r>
        <w:rPr>
          <w:rFonts w:cstheme="minorHAnsi"/>
          <w:sz w:val="22"/>
          <w:szCs w:val="22"/>
        </w:rPr>
        <w:t xml:space="preserve"> and Wednesday 14</w:t>
      </w:r>
      <w:r w:rsidRPr="00AA6819">
        <w:rPr>
          <w:rFonts w:cstheme="minorHAnsi"/>
          <w:sz w:val="22"/>
          <w:szCs w:val="22"/>
          <w:vertAlign w:val="superscript"/>
        </w:rPr>
        <w:t>th</w:t>
      </w:r>
      <w:r>
        <w:rPr>
          <w:rFonts w:cstheme="minorHAnsi"/>
          <w:sz w:val="22"/>
          <w:szCs w:val="22"/>
        </w:rPr>
        <w:t xml:space="preserve"> April 2021. Speakers from Croatia, Canada, the US and the UK discuss a range of issues in the philosophy of art, including the aesthetics of poetry, artistic creation, music and theatrical performance. In keeping with conference traditions, the schedule allows ample time for discussion of each presentation and interaction amongst conference participants, this year via the virtual platform Zoom. </w:t>
      </w:r>
    </w:p>
    <w:p w14:paraId="2B7484FA" w14:textId="77777777" w:rsidR="00B127E5" w:rsidRDefault="00B127E5" w:rsidP="00B127E5">
      <w:pPr>
        <w:rPr>
          <w:rFonts w:cstheme="minorHAnsi"/>
          <w:sz w:val="22"/>
          <w:szCs w:val="22"/>
        </w:rPr>
      </w:pPr>
    </w:p>
    <w:p w14:paraId="301E268A" w14:textId="4839DE5B" w:rsidR="00B127E5" w:rsidRPr="00AA6819" w:rsidRDefault="279B9A99" w:rsidP="279B9A99">
      <w:pPr>
        <w:rPr>
          <w:sz w:val="22"/>
          <w:szCs w:val="22"/>
        </w:rPr>
      </w:pPr>
      <w:r w:rsidRPr="279B9A99">
        <w:rPr>
          <w:sz w:val="22"/>
          <w:szCs w:val="22"/>
        </w:rPr>
        <w:t xml:space="preserve">Philosophers of art, aestheticians, artists, art historians and scholars in neighbouring disciplines are warmly invited to attend and participate in debate. To register and receive the </w:t>
      </w:r>
      <w:proofErr w:type="spellStart"/>
      <w:r w:rsidRPr="279B9A99">
        <w:rPr>
          <w:sz w:val="22"/>
          <w:szCs w:val="22"/>
        </w:rPr>
        <w:t>weblinks</w:t>
      </w:r>
      <w:proofErr w:type="spellEnd"/>
      <w:r w:rsidRPr="279B9A99">
        <w:rPr>
          <w:sz w:val="22"/>
          <w:szCs w:val="22"/>
        </w:rPr>
        <w:t xml:space="preserve"> to join the conference, please email </w:t>
      </w:r>
      <w:hyperlink r:id="rId5">
        <w:r w:rsidRPr="279B9A99">
          <w:rPr>
            <w:rStyle w:val="Hiperveza"/>
            <w:sz w:val="22"/>
            <w:szCs w:val="22"/>
          </w:rPr>
          <w:t>dbphilart@gmail.com</w:t>
        </w:r>
      </w:hyperlink>
      <w:r w:rsidRPr="279B9A99">
        <w:rPr>
          <w:sz w:val="22"/>
          <w:szCs w:val="22"/>
        </w:rPr>
        <w:t xml:space="preserve">. </w:t>
      </w:r>
    </w:p>
    <w:p w14:paraId="09698080" w14:textId="2A8E87AB" w:rsidR="279B9A99" w:rsidRDefault="279B9A99" w:rsidP="279B9A99">
      <w:pPr>
        <w:rPr>
          <w:sz w:val="22"/>
          <w:szCs w:val="22"/>
        </w:rPr>
      </w:pPr>
    </w:p>
    <w:tbl>
      <w:tblPr>
        <w:tblStyle w:val="Reetkatablice"/>
        <w:tblW w:w="0" w:type="auto"/>
        <w:tblLayout w:type="fixed"/>
        <w:tblLook w:val="04A0" w:firstRow="1" w:lastRow="0" w:firstColumn="1" w:lastColumn="0" w:noHBand="0" w:noVBand="1"/>
      </w:tblPr>
      <w:tblGrid>
        <w:gridCol w:w="1665"/>
        <w:gridCol w:w="3915"/>
        <w:gridCol w:w="4335"/>
      </w:tblGrid>
      <w:tr w:rsidR="279B9A99" w14:paraId="11E9B564" w14:textId="77777777" w:rsidTr="279B9A99">
        <w:tc>
          <w:tcPr>
            <w:tcW w:w="1665" w:type="dxa"/>
            <w:shd w:val="clear" w:color="auto" w:fill="E7E6E6" w:themeFill="background2"/>
            <w:vAlign w:val="center"/>
          </w:tcPr>
          <w:p w14:paraId="0CA6E537" w14:textId="73BF0022"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 xml:space="preserve">Time </w:t>
            </w:r>
          </w:p>
          <w:p w14:paraId="37C828C9" w14:textId="48A45BB3" w:rsidR="279B9A99" w:rsidRDefault="279B9A99" w:rsidP="279B9A99">
            <w:pPr>
              <w:rPr>
                <w:rFonts w:ascii="Calibri" w:eastAsia="Calibri" w:hAnsi="Calibri" w:cs="Calibri"/>
                <w:sz w:val="20"/>
                <w:szCs w:val="20"/>
              </w:rPr>
            </w:pPr>
            <w:r w:rsidRPr="279B9A99">
              <w:rPr>
                <w:rFonts w:ascii="Calibri" w:eastAsia="Calibri" w:hAnsi="Calibri" w:cs="Calibri"/>
                <w:sz w:val="20"/>
                <w:szCs w:val="20"/>
              </w:rPr>
              <w:t>(CET – Central European Time)</w:t>
            </w:r>
          </w:p>
        </w:tc>
        <w:tc>
          <w:tcPr>
            <w:tcW w:w="3915" w:type="dxa"/>
            <w:shd w:val="clear" w:color="auto" w:fill="E7E6E6" w:themeFill="background2"/>
            <w:vAlign w:val="center"/>
          </w:tcPr>
          <w:p w14:paraId="63E7D445" w14:textId="109B71A8" w:rsidR="279B9A99" w:rsidRDefault="279B9A99" w:rsidP="279B9A99">
            <w:pPr>
              <w:rPr>
                <w:rFonts w:ascii="Calibri" w:eastAsia="Calibri" w:hAnsi="Calibri" w:cs="Calibri"/>
                <w:sz w:val="22"/>
                <w:szCs w:val="22"/>
              </w:rPr>
            </w:pPr>
            <w:r w:rsidRPr="279B9A99">
              <w:rPr>
                <w:rFonts w:ascii="Calibri" w:eastAsia="Calibri" w:hAnsi="Calibri" w:cs="Calibri"/>
                <w:b/>
                <w:bCs/>
                <w:sz w:val="22"/>
                <w:szCs w:val="22"/>
              </w:rPr>
              <w:t>Tuesday, 13</w:t>
            </w:r>
            <w:r w:rsidRPr="279B9A99">
              <w:rPr>
                <w:rFonts w:ascii="Calibri" w:eastAsia="Calibri" w:hAnsi="Calibri" w:cs="Calibri"/>
                <w:b/>
                <w:bCs/>
                <w:sz w:val="22"/>
                <w:szCs w:val="22"/>
                <w:vertAlign w:val="superscript"/>
              </w:rPr>
              <w:t>th</w:t>
            </w:r>
            <w:r w:rsidRPr="279B9A99">
              <w:rPr>
                <w:rFonts w:ascii="Calibri" w:eastAsia="Calibri" w:hAnsi="Calibri" w:cs="Calibri"/>
                <w:b/>
                <w:bCs/>
                <w:sz w:val="22"/>
                <w:szCs w:val="22"/>
              </w:rPr>
              <w:t xml:space="preserve"> April</w:t>
            </w:r>
          </w:p>
          <w:p w14:paraId="5133D1A2" w14:textId="577FD967"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Philosophy of literature &amp; poetry</w:t>
            </w:r>
          </w:p>
          <w:p w14:paraId="052547C1" w14:textId="1C24F2B7" w:rsidR="279B9A99" w:rsidRDefault="279B9A99" w:rsidP="279B9A99">
            <w:pPr>
              <w:rPr>
                <w:rFonts w:ascii="Calibri" w:eastAsia="Calibri" w:hAnsi="Calibri" w:cs="Calibri"/>
                <w:sz w:val="22"/>
                <w:szCs w:val="22"/>
              </w:rPr>
            </w:pPr>
          </w:p>
        </w:tc>
        <w:tc>
          <w:tcPr>
            <w:tcW w:w="4335" w:type="dxa"/>
            <w:shd w:val="clear" w:color="auto" w:fill="E7E6E6" w:themeFill="background2"/>
            <w:vAlign w:val="center"/>
          </w:tcPr>
          <w:p w14:paraId="48ABBB81" w14:textId="70CE8118" w:rsidR="279B9A99" w:rsidRDefault="279B9A99" w:rsidP="279B9A99">
            <w:pPr>
              <w:rPr>
                <w:rFonts w:ascii="Calibri" w:eastAsia="Calibri" w:hAnsi="Calibri" w:cs="Calibri"/>
                <w:sz w:val="22"/>
                <w:szCs w:val="22"/>
              </w:rPr>
            </w:pPr>
            <w:r w:rsidRPr="279B9A99">
              <w:rPr>
                <w:rFonts w:ascii="Calibri" w:eastAsia="Calibri" w:hAnsi="Calibri" w:cs="Calibri"/>
                <w:b/>
                <w:bCs/>
                <w:sz w:val="22"/>
                <w:szCs w:val="22"/>
              </w:rPr>
              <w:t>Wednesday 14</w:t>
            </w:r>
            <w:r w:rsidRPr="279B9A99">
              <w:rPr>
                <w:rFonts w:ascii="Calibri" w:eastAsia="Calibri" w:hAnsi="Calibri" w:cs="Calibri"/>
                <w:b/>
                <w:bCs/>
                <w:sz w:val="22"/>
                <w:szCs w:val="22"/>
                <w:vertAlign w:val="superscript"/>
              </w:rPr>
              <w:t>th</w:t>
            </w:r>
            <w:r w:rsidRPr="279B9A99">
              <w:rPr>
                <w:rFonts w:ascii="Calibri" w:eastAsia="Calibri" w:hAnsi="Calibri" w:cs="Calibri"/>
                <w:b/>
                <w:bCs/>
                <w:sz w:val="22"/>
                <w:szCs w:val="22"/>
              </w:rPr>
              <w:t xml:space="preserve"> April</w:t>
            </w:r>
          </w:p>
          <w:p w14:paraId="639CFCCE" w14:textId="171A5C82"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 xml:space="preserve">Philosophy of narration &amp; </w:t>
            </w:r>
            <w:proofErr w:type="spellStart"/>
            <w:r w:rsidRPr="279B9A99">
              <w:rPr>
                <w:rFonts w:ascii="Calibri" w:eastAsia="Calibri" w:hAnsi="Calibri" w:cs="Calibri"/>
                <w:sz w:val="22"/>
                <w:szCs w:val="22"/>
              </w:rPr>
              <w:t>varia</w:t>
            </w:r>
            <w:proofErr w:type="spellEnd"/>
          </w:p>
        </w:tc>
      </w:tr>
      <w:tr w:rsidR="279B9A99" w14:paraId="4E22CEAE" w14:textId="77777777" w:rsidTr="279B9A99">
        <w:tc>
          <w:tcPr>
            <w:tcW w:w="1665" w:type="dxa"/>
            <w:shd w:val="clear" w:color="auto" w:fill="D0CECE" w:themeFill="background2" w:themeFillShade="E6"/>
            <w:vAlign w:val="center"/>
          </w:tcPr>
          <w:p w14:paraId="6F659923" w14:textId="6723C004"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15:00 – 15:50</w:t>
            </w:r>
          </w:p>
        </w:tc>
        <w:tc>
          <w:tcPr>
            <w:tcW w:w="3915" w:type="dxa"/>
            <w:vAlign w:val="center"/>
          </w:tcPr>
          <w:p w14:paraId="60D17577" w14:textId="71481307" w:rsidR="279B9A99" w:rsidRDefault="279B9A99" w:rsidP="279B9A99">
            <w:pPr>
              <w:rPr>
                <w:rFonts w:ascii="Calibri" w:eastAsia="Calibri" w:hAnsi="Calibri" w:cs="Calibri"/>
                <w:sz w:val="22"/>
                <w:szCs w:val="22"/>
              </w:rPr>
            </w:pPr>
            <w:proofErr w:type="spellStart"/>
            <w:r w:rsidRPr="279B9A99">
              <w:rPr>
                <w:rFonts w:ascii="Calibri" w:eastAsia="Calibri" w:hAnsi="Calibri" w:cs="Calibri"/>
                <w:sz w:val="22"/>
                <w:szCs w:val="22"/>
              </w:rPr>
              <w:t>Rafe</w:t>
            </w:r>
            <w:proofErr w:type="spellEnd"/>
            <w:r w:rsidRPr="279B9A99">
              <w:rPr>
                <w:rFonts w:ascii="Calibri" w:eastAsia="Calibri" w:hAnsi="Calibri" w:cs="Calibri"/>
                <w:sz w:val="22"/>
                <w:szCs w:val="22"/>
              </w:rPr>
              <w:t xml:space="preserve"> McGregor</w:t>
            </w:r>
          </w:p>
          <w:p w14:paraId="6329B9AA" w14:textId="6EE744A2"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Criminological Criticism: Literary Aesthetics and Critical Criminology</w:t>
            </w:r>
          </w:p>
          <w:p w14:paraId="3BE83CF9" w14:textId="20D74700" w:rsidR="279B9A99" w:rsidRDefault="279B9A99" w:rsidP="279B9A99">
            <w:pPr>
              <w:rPr>
                <w:rFonts w:ascii="Calibri" w:eastAsia="Calibri" w:hAnsi="Calibri" w:cs="Calibri"/>
                <w:sz w:val="22"/>
                <w:szCs w:val="22"/>
              </w:rPr>
            </w:pPr>
          </w:p>
        </w:tc>
        <w:tc>
          <w:tcPr>
            <w:tcW w:w="4335" w:type="dxa"/>
            <w:vAlign w:val="center"/>
          </w:tcPr>
          <w:p w14:paraId="20401CB4" w14:textId="00205DF3"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 xml:space="preserve">Mario </w:t>
            </w:r>
            <w:proofErr w:type="spellStart"/>
            <w:r w:rsidRPr="279B9A99">
              <w:rPr>
                <w:rFonts w:ascii="Calibri" w:eastAsia="Calibri" w:hAnsi="Calibri" w:cs="Calibri"/>
                <w:sz w:val="22"/>
                <w:szCs w:val="22"/>
              </w:rPr>
              <w:t>Slugan</w:t>
            </w:r>
            <w:proofErr w:type="spellEnd"/>
          </w:p>
          <w:p w14:paraId="57458197" w14:textId="42FF78F4"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‘This Is a (True) Story':</w:t>
            </w:r>
          </w:p>
          <w:p w14:paraId="789C162C" w14:textId="2566AC73"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Fiction Film and Real-Life Beliefs</w:t>
            </w:r>
          </w:p>
        </w:tc>
      </w:tr>
      <w:tr w:rsidR="279B9A99" w14:paraId="1A18E6D8" w14:textId="77777777" w:rsidTr="279B9A99">
        <w:tc>
          <w:tcPr>
            <w:tcW w:w="1665" w:type="dxa"/>
            <w:shd w:val="clear" w:color="auto" w:fill="E7E6E6" w:themeFill="background2"/>
            <w:vAlign w:val="center"/>
          </w:tcPr>
          <w:p w14:paraId="4614DCDA" w14:textId="16A21A52"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15:50 – 16:00</w:t>
            </w:r>
          </w:p>
        </w:tc>
        <w:tc>
          <w:tcPr>
            <w:tcW w:w="3915" w:type="dxa"/>
            <w:shd w:val="clear" w:color="auto" w:fill="E7E6E6" w:themeFill="background2"/>
            <w:vAlign w:val="center"/>
          </w:tcPr>
          <w:p w14:paraId="2CA5457D" w14:textId="2B448572"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Break (10mins)</w:t>
            </w:r>
          </w:p>
        </w:tc>
        <w:tc>
          <w:tcPr>
            <w:tcW w:w="4335" w:type="dxa"/>
            <w:shd w:val="clear" w:color="auto" w:fill="E7E6E6" w:themeFill="background2"/>
            <w:vAlign w:val="center"/>
          </w:tcPr>
          <w:p w14:paraId="2310E861" w14:textId="52C6C9C8"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Break (10mins)</w:t>
            </w:r>
          </w:p>
        </w:tc>
      </w:tr>
      <w:tr w:rsidR="279B9A99" w14:paraId="459C73A8" w14:textId="77777777" w:rsidTr="279B9A99">
        <w:tc>
          <w:tcPr>
            <w:tcW w:w="1665" w:type="dxa"/>
            <w:shd w:val="clear" w:color="auto" w:fill="D0CECE" w:themeFill="background2" w:themeFillShade="E6"/>
            <w:vAlign w:val="center"/>
          </w:tcPr>
          <w:p w14:paraId="011A571E" w14:textId="2D2AE696"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16:00 – 16:50</w:t>
            </w:r>
          </w:p>
        </w:tc>
        <w:tc>
          <w:tcPr>
            <w:tcW w:w="3915" w:type="dxa"/>
            <w:vAlign w:val="center"/>
          </w:tcPr>
          <w:p w14:paraId="3AF383F7" w14:textId="19C7CA93"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 xml:space="preserve">Karen </w:t>
            </w:r>
            <w:proofErr w:type="spellStart"/>
            <w:r w:rsidRPr="279B9A99">
              <w:rPr>
                <w:rFonts w:ascii="Calibri" w:eastAsia="Calibri" w:hAnsi="Calibri" w:cs="Calibri"/>
                <w:sz w:val="22"/>
                <w:szCs w:val="22"/>
              </w:rPr>
              <w:t>Simecek</w:t>
            </w:r>
            <w:proofErr w:type="spellEnd"/>
          </w:p>
          <w:p w14:paraId="1806DED1" w14:textId="629615F8"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Embodying Words: The Ethics of Voice in Performing Poetry</w:t>
            </w:r>
          </w:p>
          <w:p w14:paraId="1903A13C" w14:textId="6F6D0650" w:rsidR="279B9A99" w:rsidRDefault="279B9A99" w:rsidP="279B9A99">
            <w:pPr>
              <w:rPr>
                <w:rFonts w:ascii="Calibri" w:eastAsia="Calibri" w:hAnsi="Calibri" w:cs="Calibri"/>
                <w:sz w:val="22"/>
                <w:szCs w:val="22"/>
              </w:rPr>
            </w:pPr>
          </w:p>
        </w:tc>
        <w:tc>
          <w:tcPr>
            <w:tcW w:w="4335" w:type="dxa"/>
            <w:vAlign w:val="center"/>
          </w:tcPr>
          <w:p w14:paraId="7967AE69" w14:textId="17867DDB" w:rsidR="279B9A99" w:rsidRDefault="279B9A99" w:rsidP="279B9A99">
            <w:pPr>
              <w:rPr>
                <w:rFonts w:ascii="Calibri" w:eastAsia="Calibri" w:hAnsi="Calibri" w:cs="Calibri"/>
                <w:sz w:val="22"/>
                <w:szCs w:val="22"/>
              </w:rPr>
            </w:pPr>
            <w:proofErr w:type="spellStart"/>
            <w:r w:rsidRPr="279B9A99">
              <w:rPr>
                <w:rFonts w:ascii="Calibri" w:eastAsia="Calibri" w:hAnsi="Calibri" w:cs="Calibri"/>
                <w:sz w:val="22"/>
                <w:szCs w:val="22"/>
              </w:rPr>
              <w:t>Elvio</w:t>
            </w:r>
            <w:proofErr w:type="spellEnd"/>
            <w:r w:rsidRPr="279B9A99">
              <w:rPr>
                <w:rFonts w:ascii="Calibri" w:eastAsia="Calibri" w:hAnsi="Calibri" w:cs="Calibri"/>
                <w:sz w:val="22"/>
                <w:szCs w:val="22"/>
              </w:rPr>
              <w:t xml:space="preserve"> </w:t>
            </w:r>
            <w:proofErr w:type="spellStart"/>
            <w:r w:rsidRPr="279B9A99">
              <w:rPr>
                <w:rFonts w:ascii="Calibri" w:eastAsia="Calibri" w:hAnsi="Calibri" w:cs="Calibri"/>
                <w:sz w:val="22"/>
                <w:szCs w:val="22"/>
              </w:rPr>
              <w:t>Baccarini</w:t>
            </w:r>
            <w:proofErr w:type="spellEnd"/>
          </w:p>
          <w:p w14:paraId="6B2EA5F3" w14:textId="1106540A"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The Importance of Narration of Utopias</w:t>
            </w:r>
          </w:p>
        </w:tc>
      </w:tr>
      <w:tr w:rsidR="279B9A99" w14:paraId="37A6BC51" w14:textId="77777777" w:rsidTr="279B9A99">
        <w:tc>
          <w:tcPr>
            <w:tcW w:w="1665" w:type="dxa"/>
            <w:shd w:val="clear" w:color="auto" w:fill="E7E6E6" w:themeFill="background2"/>
            <w:vAlign w:val="center"/>
          </w:tcPr>
          <w:p w14:paraId="411EC113" w14:textId="75E75036"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16:50 – 17:00</w:t>
            </w:r>
          </w:p>
        </w:tc>
        <w:tc>
          <w:tcPr>
            <w:tcW w:w="3915" w:type="dxa"/>
            <w:shd w:val="clear" w:color="auto" w:fill="E7E6E6" w:themeFill="background2"/>
            <w:vAlign w:val="center"/>
          </w:tcPr>
          <w:p w14:paraId="10DA6858" w14:textId="5E7D3C0F"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Break (10 mins)</w:t>
            </w:r>
          </w:p>
        </w:tc>
        <w:tc>
          <w:tcPr>
            <w:tcW w:w="4335" w:type="dxa"/>
            <w:shd w:val="clear" w:color="auto" w:fill="E7E6E6" w:themeFill="background2"/>
            <w:vAlign w:val="center"/>
          </w:tcPr>
          <w:p w14:paraId="21B73A46" w14:textId="1A07F601"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Break (10 mins)</w:t>
            </w:r>
          </w:p>
        </w:tc>
      </w:tr>
      <w:tr w:rsidR="279B9A99" w14:paraId="4E52EBD2" w14:textId="77777777" w:rsidTr="279B9A99">
        <w:tc>
          <w:tcPr>
            <w:tcW w:w="1665" w:type="dxa"/>
            <w:shd w:val="clear" w:color="auto" w:fill="D0CECE" w:themeFill="background2" w:themeFillShade="E6"/>
            <w:vAlign w:val="center"/>
          </w:tcPr>
          <w:p w14:paraId="7981EED4" w14:textId="4248B45F"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17:00 – 17:50</w:t>
            </w:r>
          </w:p>
        </w:tc>
        <w:tc>
          <w:tcPr>
            <w:tcW w:w="3915" w:type="dxa"/>
            <w:vAlign w:val="center"/>
          </w:tcPr>
          <w:p w14:paraId="04F507CB" w14:textId="65DFE748"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 xml:space="preserve">Iris </w:t>
            </w:r>
            <w:proofErr w:type="spellStart"/>
            <w:r w:rsidRPr="279B9A99">
              <w:rPr>
                <w:rFonts w:ascii="Calibri" w:eastAsia="Calibri" w:hAnsi="Calibri" w:cs="Calibri"/>
                <w:sz w:val="22"/>
                <w:szCs w:val="22"/>
              </w:rPr>
              <w:t>Vidmar</w:t>
            </w:r>
            <w:proofErr w:type="spellEnd"/>
            <w:r w:rsidRPr="279B9A99">
              <w:rPr>
                <w:rFonts w:ascii="Calibri" w:eastAsia="Calibri" w:hAnsi="Calibri" w:cs="Calibri"/>
                <w:sz w:val="22"/>
                <w:szCs w:val="22"/>
              </w:rPr>
              <w:t xml:space="preserve"> </w:t>
            </w:r>
            <w:proofErr w:type="spellStart"/>
            <w:r w:rsidRPr="279B9A99">
              <w:rPr>
                <w:rFonts w:ascii="Calibri" w:eastAsia="Calibri" w:hAnsi="Calibri" w:cs="Calibri"/>
                <w:sz w:val="22"/>
                <w:szCs w:val="22"/>
              </w:rPr>
              <w:t>Jovanović</w:t>
            </w:r>
            <w:proofErr w:type="spellEnd"/>
          </w:p>
          <w:p w14:paraId="07D15E42" w14:textId="5A3D5BF4"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Form, Content and Paraphrase in Poetry</w:t>
            </w:r>
          </w:p>
          <w:p w14:paraId="04A88C4F" w14:textId="77C252F0" w:rsidR="279B9A99" w:rsidRDefault="279B9A99" w:rsidP="279B9A99">
            <w:pPr>
              <w:rPr>
                <w:rFonts w:ascii="Calibri" w:eastAsia="Calibri" w:hAnsi="Calibri" w:cs="Calibri"/>
                <w:sz w:val="22"/>
                <w:szCs w:val="22"/>
              </w:rPr>
            </w:pPr>
          </w:p>
        </w:tc>
        <w:tc>
          <w:tcPr>
            <w:tcW w:w="4335" w:type="dxa"/>
            <w:vAlign w:val="center"/>
          </w:tcPr>
          <w:p w14:paraId="544DF466" w14:textId="4D7D9A60"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Renee Conroy</w:t>
            </w:r>
          </w:p>
          <w:p w14:paraId="556A355A" w14:textId="1E2074D0"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From Seaman's Folly to Architectural Folly?  Tales We Tell About Buildings</w:t>
            </w:r>
          </w:p>
        </w:tc>
      </w:tr>
      <w:tr w:rsidR="279B9A99" w14:paraId="0E982296" w14:textId="77777777" w:rsidTr="279B9A99">
        <w:tc>
          <w:tcPr>
            <w:tcW w:w="1665" w:type="dxa"/>
            <w:shd w:val="clear" w:color="auto" w:fill="E7E6E6" w:themeFill="background2"/>
            <w:vAlign w:val="center"/>
          </w:tcPr>
          <w:p w14:paraId="3067FAED" w14:textId="608552C4"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17:50 – 18:20</w:t>
            </w:r>
          </w:p>
        </w:tc>
        <w:tc>
          <w:tcPr>
            <w:tcW w:w="3915" w:type="dxa"/>
            <w:shd w:val="clear" w:color="auto" w:fill="E7E6E6" w:themeFill="background2"/>
            <w:vAlign w:val="center"/>
          </w:tcPr>
          <w:p w14:paraId="69179ED0" w14:textId="2248AB07"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Break (30 mins)</w:t>
            </w:r>
          </w:p>
        </w:tc>
        <w:tc>
          <w:tcPr>
            <w:tcW w:w="4335" w:type="dxa"/>
            <w:shd w:val="clear" w:color="auto" w:fill="E7E6E6" w:themeFill="background2"/>
            <w:vAlign w:val="center"/>
          </w:tcPr>
          <w:p w14:paraId="2E721661" w14:textId="689A89D8"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Break (30 mins)</w:t>
            </w:r>
          </w:p>
        </w:tc>
      </w:tr>
      <w:tr w:rsidR="279B9A99" w14:paraId="78E8D987" w14:textId="77777777" w:rsidTr="279B9A99">
        <w:tc>
          <w:tcPr>
            <w:tcW w:w="1665" w:type="dxa"/>
            <w:shd w:val="clear" w:color="auto" w:fill="D0CECE" w:themeFill="background2" w:themeFillShade="E6"/>
            <w:vAlign w:val="center"/>
          </w:tcPr>
          <w:p w14:paraId="374E606B" w14:textId="73F7CFDC"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18:20 – 19:10</w:t>
            </w:r>
          </w:p>
        </w:tc>
        <w:tc>
          <w:tcPr>
            <w:tcW w:w="3915" w:type="dxa"/>
            <w:vAlign w:val="center"/>
          </w:tcPr>
          <w:p w14:paraId="016F2670" w14:textId="3B99FF2E"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John Gibson</w:t>
            </w:r>
          </w:p>
          <w:p w14:paraId="051E919F" w14:textId="31A289A9"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Painterly Aspirations in Poetry</w:t>
            </w:r>
          </w:p>
          <w:p w14:paraId="5500AEBB" w14:textId="17F15B73" w:rsidR="279B9A99" w:rsidRDefault="279B9A99" w:rsidP="279B9A99">
            <w:pPr>
              <w:rPr>
                <w:rFonts w:ascii="Calibri" w:eastAsia="Calibri" w:hAnsi="Calibri" w:cs="Calibri"/>
                <w:sz w:val="22"/>
                <w:szCs w:val="22"/>
              </w:rPr>
            </w:pPr>
          </w:p>
          <w:p w14:paraId="0885B002" w14:textId="44940668" w:rsidR="279B9A99" w:rsidRDefault="279B9A99" w:rsidP="279B9A99">
            <w:pPr>
              <w:rPr>
                <w:rFonts w:ascii="Calibri" w:eastAsia="Calibri" w:hAnsi="Calibri" w:cs="Calibri"/>
                <w:sz w:val="22"/>
                <w:szCs w:val="22"/>
              </w:rPr>
            </w:pPr>
          </w:p>
        </w:tc>
        <w:tc>
          <w:tcPr>
            <w:tcW w:w="4335" w:type="dxa"/>
            <w:vAlign w:val="center"/>
          </w:tcPr>
          <w:p w14:paraId="275B1D04" w14:textId="603A240D"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David Collins</w:t>
            </w:r>
          </w:p>
          <w:p w14:paraId="11A687F7" w14:textId="74BEB3E7"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An Implicit Account of Artistic Creation in Bergson's Creative Evolution</w:t>
            </w:r>
          </w:p>
        </w:tc>
      </w:tr>
      <w:tr w:rsidR="279B9A99" w14:paraId="3D2D50ED" w14:textId="77777777" w:rsidTr="279B9A99">
        <w:tc>
          <w:tcPr>
            <w:tcW w:w="1665" w:type="dxa"/>
            <w:shd w:val="clear" w:color="auto" w:fill="E7E6E6" w:themeFill="background2"/>
            <w:vAlign w:val="center"/>
          </w:tcPr>
          <w:p w14:paraId="12120E41" w14:textId="7CDDC0DD"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19:10 – 19:20</w:t>
            </w:r>
          </w:p>
        </w:tc>
        <w:tc>
          <w:tcPr>
            <w:tcW w:w="3915" w:type="dxa"/>
            <w:shd w:val="clear" w:color="auto" w:fill="E7E6E6" w:themeFill="background2"/>
            <w:vAlign w:val="center"/>
          </w:tcPr>
          <w:p w14:paraId="67E11390" w14:textId="45C7A7B9"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Break (10 mins)</w:t>
            </w:r>
          </w:p>
        </w:tc>
        <w:tc>
          <w:tcPr>
            <w:tcW w:w="4335" w:type="dxa"/>
            <w:shd w:val="clear" w:color="auto" w:fill="E7E6E6" w:themeFill="background2"/>
            <w:vAlign w:val="center"/>
          </w:tcPr>
          <w:p w14:paraId="2D72C218" w14:textId="394F3808"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 xml:space="preserve"> Break (10 mins)</w:t>
            </w:r>
          </w:p>
        </w:tc>
      </w:tr>
      <w:tr w:rsidR="279B9A99" w14:paraId="07CC0E2C" w14:textId="77777777" w:rsidTr="279B9A99">
        <w:tc>
          <w:tcPr>
            <w:tcW w:w="1665" w:type="dxa"/>
            <w:shd w:val="clear" w:color="auto" w:fill="D0CECE" w:themeFill="background2" w:themeFillShade="E6"/>
            <w:vAlign w:val="center"/>
          </w:tcPr>
          <w:p w14:paraId="0959C23B" w14:textId="085B4954"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 xml:space="preserve">19:20 – 20:10 </w:t>
            </w:r>
          </w:p>
        </w:tc>
        <w:tc>
          <w:tcPr>
            <w:tcW w:w="3915" w:type="dxa"/>
            <w:vAlign w:val="center"/>
          </w:tcPr>
          <w:p w14:paraId="7104F5BF" w14:textId="1F8EC35F"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James Hamilton</w:t>
            </w:r>
          </w:p>
          <w:p w14:paraId="6EBCD430" w14:textId="7D87B26F"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Theatrical Conventions</w:t>
            </w:r>
          </w:p>
          <w:p w14:paraId="51F9C137" w14:textId="2CE2F183" w:rsidR="279B9A99" w:rsidRDefault="279B9A99" w:rsidP="279B9A99">
            <w:pPr>
              <w:rPr>
                <w:rFonts w:ascii="Calibri" w:eastAsia="Calibri" w:hAnsi="Calibri" w:cs="Calibri"/>
                <w:sz w:val="22"/>
                <w:szCs w:val="22"/>
              </w:rPr>
            </w:pPr>
          </w:p>
          <w:p w14:paraId="0E378980" w14:textId="19040EBD" w:rsidR="279B9A99" w:rsidRDefault="279B9A99" w:rsidP="279B9A99">
            <w:pPr>
              <w:rPr>
                <w:rFonts w:ascii="Calibri" w:eastAsia="Calibri" w:hAnsi="Calibri" w:cs="Calibri"/>
                <w:sz w:val="22"/>
                <w:szCs w:val="22"/>
              </w:rPr>
            </w:pPr>
          </w:p>
        </w:tc>
        <w:tc>
          <w:tcPr>
            <w:tcW w:w="4335" w:type="dxa"/>
            <w:vAlign w:val="center"/>
          </w:tcPr>
          <w:p w14:paraId="09C7CBE8" w14:textId="7A43BCBC" w:rsidR="279B9A99" w:rsidRDefault="279B9A99" w:rsidP="279B9A99">
            <w:pPr>
              <w:rPr>
                <w:rFonts w:ascii="Calibri" w:eastAsia="Calibri" w:hAnsi="Calibri" w:cs="Calibri"/>
                <w:sz w:val="22"/>
                <w:szCs w:val="22"/>
              </w:rPr>
            </w:pPr>
            <w:r w:rsidRPr="279B9A99">
              <w:rPr>
                <w:rFonts w:ascii="Calibri" w:eastAsia="Calibri" w:hAnsi="Calibri" w:cs="Calibri"/>
                <w:sz w:val="22"/>
                <w:szCs w:val="22"/>
              </w:rPr>
              <w:t>James Young</w:t>
            </w:r>
          </w:p>
          <w:p w14:paraId="7CE68249" w14:textId="4AFAB5F4" w:rsidR="279B9A99" w:rsidRDefault="279B9A99" w:rsidP="279B9A99">
            <w:pPr>
              <w:rPr>
                <w:rFonts w:ascii="Calibri" w:eastAsia="Calibri" w:hAnsi="Calibri" w:cs="Calibri"/>
                <w:sz w:val="22"/>
                <w:szCs w:val="22"/>
              </w:rPr>
            </w:pPr>
            <w:r w:rsidRPr="279B9A99">
              <w:rPr>
                <w:rFonts w:ascii="Calibri" w:eastAsia="Calibri" w:hAnsi="Calibri" w:cs="Calibri"/>
                <w:i/>
                <w:iCs/>
                <w:sz w:val="22"/>
                <w:szCs w:val="22"/>
              </w:rPr>
              <w:t>Is the Ethos Theory of Music Right?</w:t>
            </w:r>
          </w:p>
        </w:tc>
      </w:tr>
    </w:tbl>
    <w:p w14:paraId="56020F4D" w14:textId="7A08AD40" w:rsidR="279B9A99" w:rsidRDefault="279B9A99" w:rsidP="279B9A99">
      <w:pPr>
        <w:rPr>
          <w:sz w:val="22"/>
          <w:szCs w:val="22"/>
        </w:rPr>
      </w:pPr>
    </w:p>
    <w:p w14:paraId="0FB94D0F" w14:textId="77777777" w:rsidR="00B127E5" w:rsidRPr="00AA6819" w:rsidRDefault="00B127E5" w:rsidP="00B127E5">
      <w:pPr>
        <w:rPr>
          <w:rFonts w:cstheme="minorHAnsi"/>
          <w:sz w:val="22"/>
          <w:szCs w:val="22"/>
        </w:rPr>
      </w:pPr>
    </w:p>
    <w:p w14:paraId="318E4EA9" w14:textId="77777777" w:rsidR="00715358" w:rsidRDefault="00C207ED"/>
    <w:sectPr w:rsidR="00715358" w:rsidSect="001A4CDD">
      <w:pgSz w:w="11900" w:h="16840"/>
      <w:pgMar w:top="794" w:right="907" w:bottom="81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7E5"/>
    <w:rsid w:val="003B5E11"/>
    <w:rsid w:val="00506369"/>
    <w:rsid w:val="00696E36"/>
    <w:rsid w:val="007306DE"/>
    <w:rsid w:val="008F6E90"/>
    <w:rsid w:val="00A45BE0"/>
    <w:rsid w:val="00B127E5"/>
    <w:rsid w:val="00B470D4"/>
    <w:rsid w:val="00C207ED"/>
    <w:rsid w:val="00D07CE0"/>
    <w:rsid w:val="00D15312"/>
    <w:rsid w:val="00DE17D4"/>
    <w:rsid w:val="279B9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56D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E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127E5"/>
    <w:pPr>
      <w:spacing w:before="100" w:beforeAutospacing="1" w:after="100" w:afterAutospacing="1"/>
    </w:pPr>
    <w:rPr>
      <w:rFonts w:ascii="Times New Roman" w:eastAsia="Times New Roman" w:hAnsi="Times New Roman" w:cs="Times New Roman"/>
      <w:lang w:eastAsia="en-GB"/>
    </w:rPr>
  </w:style>
  <w:style w:type="character" w:styleId="Hiperveza">
    <w:name w:val="Hyperlink"/>
    <w:basedOn w:val="Zadanifontodlomka"/>
    <w:uiPriority w:val="99"/>
    <w:unhideWhenUsed/>
    <w:rsid w:val="00B127E5"/>
    <w:rPr>
      <w:color w:val="0563C1" w:themeColor="hyperlink"/>
      <w:u w:val="single"/>
    </w:r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7E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127E5"/>
    <w:pPr>
      <w:spacing w:before="100" w:beforeAutospacing="1" w:after="100" w:afterAutospacing="1"/>
    </w:pPr>
    <w:rPr>
      <w:rFonts w:ascii="Times New Roman" w:eastAsia="Times New Roman" w:hAnsi="Times New Roman" w:cs="Times New Roman"/>
      <w:lang w:eastAsia="en-GB"/>
    </w:rPr>
  </w:style>
  <w:style w:type="character" w:styleId="Hiperveza">
    <w:name w:val="Hyperlink"/>
    <w:basedOn w:val="Zadanifontodlomka"/>
    <w:uiPriority w:val="99"/>
    <w:unhideWhenUsed/>
    <w:rsid w:val="00B127E5"/>
    <w:rPr>
      <w:color w:val="0563C1" w:themeColor="hyperlink"/>
      <w:u w:val="single"/>
    </w:r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bphila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Pakes</dc:creator>
  <cp:lastModifiedBy>IUC 1</cp:lastModifiedBy>
  <cp:revision>2</cp:revision>
  <cp:lastPrinted>2021-03-31T08:58:00Z</cp:lastPrinted>
  <dcterms:created xsi:type="dcterms:W3CDTF">2021-03-31T09:01:00Z</dcterms:created>
  <dcterms:modified xsi:type="dcterms:W3CDTF">2021-03-31T09:01:00Z</dcterms:modified>
</cp:coreProperties>
</file>