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C56D6" w14:textId="77777777" w:rsidR="00843436" w:rsidRPr="00164F2D" w:rsidRDefault="00843436" w:rsidP="00843436">
      <w:pPr>
        <w:rPr>
          <w:lang w:val="en-GB"/>
        </w:rPr>
      </w:pPr>
      <w:r w:rsidRPr="00164F2D">
        <w:rPr>
          <w:lang w:val="en-GB"/>
        </w:rPr>
        <w:t>DRAFT MINUTES</w:t>
      </w:r>
    </w:p>
    <w:p w14:paraId="07CC43F6" w14:textId="35C64A2D" w:rsidR="00843436" w:rsidRPr="00164F2D" w:rsidRDefault="00843436" w:rsidP="00843436">
      <w:pPr>
        <w:rPr>
          <w:lang w:val="en-GB"/>
        </w:rPr>
      </w:pPr>
      <w:r w:rsidRPr="00164F2D">
        <w:rPr>
          <w:lang w:val="en-GB"/>
        </w:rPr>
        <w:t>28</w:t>
      </w:r>
      <w:r w:rsidRPr="00164F2D">
        <w:rPr>
          <w:vertAlign w:val="superscript"/>
          <w:lang w:val="en-GB"/>
        </w:rPr>
        <w:t>th</w:t>
      </w:r>
      <w:r w:rsidRPr="00164F2D">
        <w:rPr>
          <w:lang w:val="en-GB"/>
        </w:rPr>
        <w:t xml:space="preserve"> Meeting of the IUC Association Assembly</w:t>
      </w:r>
    </w:p>
    <w:p w14:paraId="4257DD5A" w14:textId="77777777" w:rsidR="00843436" w:rsidRPr="00164F2D" w:rsidRDefault="00843436" w:rsidP="00843436">
      <w:pPr>
        <w:rPr>
          <w:lang w:val="en-GB"/>
        </w:rPr>
      </w:pPr>
      <w:r w:rsidRPr="00164F2D">
        <w:rPr>
          <w:lang w:val="en-GB"/>
        </w:rPr>
        <w:t>and</w:t>
      </w:r>
    </w:p>
    <w:p w14:paraId="3FD3AD3F" w14:textId="2BCCA3DB" w:rsidR="00843436" w:rsidRPr="00164F2D" w:rsidRDefault="00843436" w:rsidP="00843436">
      <w:pPr>
        <w:rPr>
          <w:lang w:val="en-GB"/>
        </w:rPr>
      </w:pPr>
      <w:r w:rsidRPr="00164F2D">
        <w:rPr>
          <w:lang w:val="en-GB"/>
        </w:rPr>
        <w:t>33</w:t>
      </w:r>
      <w:r w:rsidRPr="00164F2D">
        <w:rPr>
          <w:vertAlign w:val="superscript"/>
          <w:lang w:val="en-GB"/>
        </w:rPr>
        <w:t>nd</w:t>
      </w:r>
      <w:r w:rsidRPr="00164F2D">
        <w:rPr>
          <w:lang w:val="en-GB"/>
        </w:rPr>
        <w:t xml:space="preserve"> Meeting of the IUC Association Board</w:t>
      </w:r>
    </w:p>
    <w:p w14:paraId="36AA24C7" w14:textId="77777777" w:rsidR="00843436" w:rsidRPr="00164F2D" w:rsidRDefault="00843436" w:rsidP="00843436">
      <w:pPr>
        <w:rPr>
          <w:lang w:val="en-GB"/>
        </w:rPr>
      </w:pPr>
    </w:p>
    <w:p w14:paraId="3851A66F" w14:textId="7F5786D0" w:rsidR="00843436" w:rsidRPr="00164F2D" w:rsidRDefault="00843436" w:rsidP="00843436">
      <w:pPr>
        <w:rPr>
          <w:lang w:val="en-GB"/>
        </w:rPr>
      </w:pPr>
      <w:r w:rsidRPr="00164F2D">
        <w:rPr>
          <w:lang w:val="en-GB"/>
        </w:rPr>
        <w:t>Held through internet from 16 to 23 February 2021</w:t>
      </w:r>
    </w:p>
    <w:p w14:paraId="2F6AB662" w14:textId="77777777" w:rsidR="00843436" w:rsidRPr="00164F2D" w:rsidRDefault="00843436" w:rsidP="00843436">
      <w:pPr>
        <w:rPr>
          <w:lang w:val="en-GB"/>
        </w:rPr>
      </w:pPr>
    </w:p>
    <w:p w14:paraId="56A716B7" w14:textId="014F1F5B" w:rsidR="00843436" w:rsidRPr="00164F2D" w:rsidRDefault="00843436" w:rsidP="00843436">
      <w:pPr>
        <w:rPr>
          <w:lang w:val="en-GB"/>
        </w:rPr>
      </w:pPr>
      <w:r w:rsidRPr="00164F2D">
        <w:rPr>
          <w:lang w:val="en-GB"/>
        </w:rPr>
        <w:t>PARTICIPATED: Nada Bruer Ljubišić, Wieger Bakker, Gunn Elisabeth Birkelund, Vida Demarin, Milena Dragičević Šešić, Berta Dragičević, Peter Fischer Appelt, Sigmund Gr</w:t>
      </w:r>
      <w:r w:rsidRPr="00164F2D">
        <w:rPr>
          <w:rFonts w:cstheme="minorHAnsi"/>
          <w:lang w:val="en-GB"/>
        </w:rPr>
        <w:t>ø</w:t>
      </w:r>
      <w:r w:rsidRPr="00164F2D">
        <w:rPr>
          <w:lang w:val="en-GB"/>
        </w:rPr>
        <w:t>nmo, Peter Kampits, Lise Kj</w:t>
      </w:r>
      <w:r w:rsidRPr="00164F2D">
        <w:rPr>
          <w:rFonts w:cstheme="minorHAnsi"/>
          <w:lang w:val="en-GB"/>
        </w:rPr>
        <w:t>ø</w:t>
      </w:r>
      <w:r w:rsidRPr="00164F2D">
        <w:rPr>
          <w:lang w:val="en-GB"/>
        </w:rPr>
        <w:t xml:space="preserve">lsrod,  Hrvoje Kraljević, Asim Kurjak, Frank Laubert, Krunoslav Pisk, Hans Joachim Seitz, Zvonimir Šikić, </w:t>
      </w:r>
      <w:r w:rsidR="00B93C1A">
        <w:rPr>
          <w:lang w:val="en-GB"/>
        </w:rPr>
        <w:t xml:space="preserve">Zvonimir Paul Šeparović (with time delay), </w:t>
      </w:r>
      <w:r w:rsidRPr="00164F2D">
        <w:rPr>
          <w:lang w:val="en-GB"/>
        </w:rPr>
        <w:t>Ivo Šlaus, Aleksandar Štulhofer, Mitja Žagar</w:t>
      </w:r>
    </w:p>
    <w:p w14:paraId="631F48E3" w14:textId="2E6CA183" w:rsidR="00843436" w:rsidRPr="00164F2D" w:rsidRDefault="00843436" w:rsidP="00843436">
      <w:pPr>
        <w:rPr>
          <w:lang w:val="en-GB"/>
        </w:rPr>
      </w:pPr>
      <w:r w:rsidRPr="00164F2D">
        <w:rPr>
          <w:lang w:val="en-GB"/>
        </w:rPr>
        <w:t xml:space="preserve">A quorum is established by participation of </w:t>
      </w:r>
      <w:r w:rsidR="00B0313C">
        <w:rPr>
          <w:lang w:val="en-GB"/>
        </w:rPr>
        <w:t>20</w:t>
      </w:r>
      <w:r w:rsidRPr="00164F2D">
        <w:rPr>
          <w:lang w:val="en-GB"/>
        </w:rPr>
        <w:t xml:space="preserve"> out of 29 members.</w:t>
      </w:r>
    </w:p>
    <w:p w14:paraId="423C2792" w14:textId="77777777" w:rsidR="00843436" w:rsidRPr="00164F2D" w:rsidRDefault="00843436" w:rsidP="00843436">
      <w:pPr>
        <w:rPr>
          <w:lang w:val="en-GB"/>
        </w:rPr>
      </w:pPr>
    </w:p>
    <w:p w14:paraId="1B6A7F1C" w14:textId="2C334E11" w:rsidR="00996BBB" w:rsidRPr="00AF1507" w:rsidRDefault="006F757D" w:rsidP="00401903">
      <w:pPr>
        <w:pStyle w:val="ListParagraph"/>
        <w:numPr>
          <w:ilvl w:val="0"/>
          <w:numId w:val="3"/>
        </w:numPr>
        <w:spacing w:after="160" w:line="259" w:lineRule="auto"/>
        <w:ind w:left="426" w:hanging="426"/>
        <w:rPr>
          <w:rStyle w:val="Bez"/>
          <w:lang w:val="en-GB"/>
        </w:rPr>
      </w:pPr>
      <w:r w:rsidRPr="00164F2D">
        <w:rPr>
          <w:b/>
          <w:bCs/>
          <w:lang w:val="en-GB"/>
        </w:rPr>
        <w:t>Report</w:t>
      </w:r>
      <w:r w:rsidR="001B4F57" w:rsidRPr="00164F2D">
        <w:rPr>
          <w:lang w:val="en-GB"/>
        </w:rPr>
        <w:t>, prepared by Prof. Pisk and Ms. Bruer</w:t>
      </w:r>
      <w:r w:rsidR="00401903">
        <w:rPr>
          <w:lang w:val="en-GB"/>
        </w:rPr>
        <w:t>,</w:t>
      </w:r>
      <w:r w:rsidR="001B4F57" w:rsidRPr="00164F2D">
        <w:rPr>
          <w:lang w:val="en-GB"/>
        </w:rPr>
        <w:t xml:space="preserve"> was circulated through mail. </w:t>
      </w:r>
      <w:r w:rsidR="00996BBB" w:rsidRPr="00164F2D">
        <w:rPr>
          <w:lang w:val="en-GB"/>
        </w:rPr>
        <w:t xml:space="preserve">Abstract of the report: The year 2020 due to </w:t>
      </w:r>
      <w:r w:rsidR="00164F2D">
        <w:rPr>
          <w:lang w:val="en-GB"/>
        </w:rPr>
        <w:t>C</w:t>
      </w:r>
      <w:r w:rsidR="00996BBB" w:rsidRPr="00AF1507">
        <w:rPr>
          <w:lang w:val="en-GB"/>
        </w:rPr>
        <w:t xml:space="preserve">orona pandemic ended with 12 (standard, blended and online) programmes with 606 participants. The IUC office did not receive an explanation from University of Zagreb for the increase of its share of utility costs of the building for 2019 and for 2020 although members of the IUC governing bodies wrote on several occasions to Rector Boras to ask for meeting to find a solution for these bills. The IUC paid the bill for the first part of the year 2020 stressing the need to clear out the issue.  During 2020, University of Zagreb replaced 4 chestnut trees in the courtyard with 4 younger trees and paved it with later removed concrete slabs. They also cleared out two rooms of the library to rent it to private Libertas University.  Two classrooms in the building (2 and 4 on the second floor) would be made available to Libertas University from September until end of June. Since these classrooms were also used and reserved by the IUC for longstanding (large) programmes the manager of the building, Mr. Frano Hartman is assuring the IUC office that solution would be found for the period when the IUC has its courses in the building. The IUC has new web pages with numerous novelties: free online lectures deriving from blended courses - </w:t>
      </w:r>
      <w:hyperlink r:id="rId6" w:history="1">
        <w:r w:rsidR="00996BBB" w:rsidRPr="00AF1507">
          <w:rPr>
            <w:rStyle w:val="Hyperlink"/>
            <w:lang w:val="en-GB"/>
          </w:rPr>
          <w:t>https://iuc.hr/online-lectures</w:t>
        </w:r>
      </w:hyperlink>
      <w:r w:rsidR="008C72E5" w:rsidRPr="00AF1507">
        <w:rPr>
          <w:lang w:val="en-GB"/>
        </w:rPr>
        <w:t>;</w:t>
      </w:r>
      <w:r w:rsidR="00996BBB" w:rsidRPr="00AF1507">
        <w:rPr>
          <w:lang w:val="en-GB"/>
        </w:rPr>
        <w:t xml:space="preserve"> Working Paper Series - </w:t>
      </w:r>
      <w:hyperlink r:id="rId7" w:history="1">
        <w:r w:rsidR="00996BBB" w:rsidRPr="00AF1507">
          <w:rPr>
            <w:rStyle w:val="Hyperlink"/>
            <w:lang w:val="en-GB"/>
          </w:rPr>
          <w:t>https://iuc.hr/iuc-working-paper-series</w:t>
        </w:r>
      </w:hyperlink>
      <w:r w:rsidR="00996BBB" w:rsidRPr="00AF1507">
        <w:rPr>
          <w:lang w:val="en-GB"/>
        </w:rPr>
        <w:t xml:space="preserve"> - initiated and edited by Prof. Bakker</w:t>
      </w:r>
      <w:r w:rsidR="008C72E5" w:rsidRPr="00AF1507">
        <w:rPr>
          <w:lang w:val="en-GB"/>
        </w:rPr>
        <w:t xml:space="preserve"> and </w:t>
      </w:r>
      <w:hyperlink r:id="rId8" w:history="1">
        <w:r w:rsidR="008C72E5" w:rsidRPr="00AF1507">
          <w:rPr>
            <w:rStyle w:val="Hyperlink"/>
            <w:lang w:val="en-GB"/>
          </w:rPr>
          <w:t>connect through IUC interactive map</w:t>
        </w:r>
      </w:hyperlink>
      <w:r w:rsidR="008C72E5" w:rsidRPr="00AF1507">
        <w:rPr>
          <w:lang w:val="en-GB"/>
        </w:rPr>
        <w:t xml:space="preserve">. </w:t>
      </w:r>
      <w:r w:rsidR="00996BBB" w:rsidRPr="00AF1507">
        <w:rPr>
          <w:rStyle w:val="Bez"/>
          <w:lang w:val="en-GB"/>
        </w:rPr>
        <w:t>According to</w:t>
      </w:r>
      <w:r w:rsidR="00401903">
        <w:rPr>
          <w:rStyle w:val="Bez"/>
          <w:lang w:val="en-GB"/>
        </w:rPr>
        <w:t xml:space="preserve"> the</w:t>
      </w:r>
      <w:r w:rsidR="00996BBB" w:rsidRPr="00AF1507">
        <w:rPr>
          <w:rStyle w:val="Bez"/>
          <w:lang w:val="en-GB"/>
        </w:rPr>
        <w:t xml:space="preserve"> EC decision from October 2019 to engage an outside expert in order to reach a sustainable IUC operation, IUC started cooperation with Mr. Boudewijn Grievink, on the project: Consultancy on Membership Structure &amp; Value Proposition of the IUC. This project was focusing on</w:t>
      </w:r>
      <w:r w:rsidR="008C72E5" w:rsidRPr="00AF1507">
        <w:rPr>
          <w:rStyle w:val="Bez"/>
          <w:lang w:val="en-GB"/>
        </w:rPr>
        <w:t xml:space="preserve"> three subtopics:</w:t>
      </w:r>
      <w:r w:rsidR="00996BBB" w:rsidRPr="00AF1507">
        <w:rPr>
          <w:rStyle w:val="Bez"/>
          <w:lang w:val="en-GB"/>
        </w:rPr>
        <w:t xml:space="preserve"> </w:t>
      </w:r>
    </w:p>
    <w:p w14:paraId="759C8609" w14:textId="746215E2" w:rsidR="008C72E5" w:rsidRPr="00164F2D" w:rsidRDefault="008C72E5" w:rsidP="00401903">
      <w:pPr>
        <w:ind w:left="426" w:hanging="426"/>
        <w:rPr>
          <w:sz w:val="20"/>
          <w:lang w:val="en-GB"/>
        </w:rPr>
      </w:pPr>
      <w:r w:rsidRPr="00164F2D">
        <w:rPr>
          <w:rStyle w:val="Bez"/>
          <w:lang w:val="en-GB"/>
        </w:rPr>
        <w:t>-</w:t>
      </w:r>
      <w:r w:rsidR="00996BBB" w:rsidRPr="00164F2D">
        <w:rPr>
          <w:i/>
          <w:iCs/>
          <w:lang w:val="en-GB"/>
        </w:rPr>
        <w:t xml:space="preserve"> </w:t>
      </w:r>
      <w:r w:rsidR="00996BBB" w:rsidRPr="00164F2D">
        <w:rPr>
          <w:b/>
          <w:bCs/>
          <w:i/>
          <w:iCs/>
          <w:lang w:val="en-GB"/>
        </w:rPr>
        <w:t>Development of Membership structure</w:t>
      </w:r>
      <w:r w:rsidR="00996BBB" w:rsidRPr="00164F2D">
        <w:rPr>
          <w:lang w:val="en-GB"/>
        </w:rPr>
        <w:t xml:space="preserve"> Mr. Grievink </w:t>
      </w:r>
      <w:r w:rsidR="00164F2D" w:rsidRPr="00164F2D">
        <w:rPr>
          <w:lang w:val="en-GB"/>
        </w:rPr>
        <w:t>analysed</w:t>
      </w:r>
      <w:r w:rsidR="00996BBB" w:rsidRPr="00164F2D">
        <w:rPr>
          <w:lang w:val="en-GB"/>
        </w:rPr>
        <w:t xml:space="preserve"> different types of IUC members</w:t>
      </w:r>
      <w:r w:rsidRPr="00164F2D">
        <w:rPr>
          <w:lang w:val="en-GB"/>
        </w:rPr>
        <w:t>,</w:t>
      </w:r>
      <w:r w:rsidR="00996BBB" w:rsidRPr="00164F2D">
        <w:rPr>
          <w:lang w:val="en-GB"/>
        </w:rPr>
        <w:t xml:space="preserve"> interviewed IUC course directors and concluded that although </w:t>
      </w:r>
      <w:r w:rsidR="00996BBB" w:rsidRPr="00164F2D">
        <w:rPr>
          <w:w w:val="105"/>
          <w:lang w:val="en-GB"/>
        </w:rPr>
        <w:t>the</w:t>
      </w:r>
      <w:r w:rsidR="00996BBB" w:rsidRPr="00164F2D">
        <w:rPr>
          <w:spacing w:val="-10"/>
          <w:w w:val="105"/>
          <w:lang w:val="en-GB"/>
        </w:rPr>
        <w:t xml:space="preserve"> </w:t>
      </w:r>
      <w:r w:rsidR="00996BBB" w:rsidRPr="00164F2D">
        <w:rPr>
          <w:w w:val="105"/>
          <w:lang w:val="en-GB"/>
        </w:rPr>
        <w:t>membership</w:t>
      </w:r>
      <w:r w:rsidR="00996BBB" w:rsidRPr="00164F2D">
        <w:rPr>
          <w:spacing w:val="-10"/>
          <w:w w:val="105"/>
          <w:lang w:val="en-GB"/>
        </w:rPr>
        <w:t xml:space="preserve"> </w:t>
      </w:r>
      <w:r w:rsidR="00996BBB" w:rsidRPr="00164F2D">
        <w:rPr>
          <w:w w:val="105"/>
          <w:lang w:val="en-GB"/>
        </w:rPr>
        <w:t>fee</w:t>
      </w:r>
      <w:r w:rsidR="00996BBB" w:rsidRPr="00164F2D">
        <w:rPr>
          <w:spacing w:val="-10"/>
          <w:w w:val="105"/>
          <w:lang w:val="en-GB"/>
        </w:rPr>
        <w:t xml:space="preserve"> </w:t>
      </w:r>
      <w:r w:rsidR="00996BBB" w:rsidRPr="00164F2D">
        <w:rPr>
          <w:w w:val="105"/>
          <w:lang w:val="en-GB"/>
        </w:rPr>
        <w:t>of</w:t>
      </w:r>
      <w:r w:rsidR="00996BBB" w:rsidRPr="00164F2D">
        <w:rPr>
          <w:spacing w:val="-9"/>
          <w:w w:val="105"/>
          <w:lang w:val="en-GB"/>
        </w:rPr>
        <w:t xml:space="preserve"> </w:t>
      </w:r>
      <w:r w:rsidR="00996BBB" w:rsidRPr="00164F2D">
        <w:rPr>
          <w:w w:val="105"/>
          <w:lang w:val="en-GB"/>
        </w:rPr>
        <w:t>the</w:t>
      </w:r>
      <w:r w:rsidR="00996BBB" w:rsidRPr="00164F2D">
        <w:rPr>
          <w:spacing w:val="-10"/>
          <w:w w:val="105"/>
          <w:lang w:val="en-GB"/>
        </w:rPr>
        <w:t xml:space="preserve"> </w:t>
      </w:r>
      <w:r w:rsidR="00996BBB" w:rsidRPr="00164F2D">
        <w:rPr>
          <w:w w:val="105"/>
          <w:lang w:val="en-GB"/>
        </w:rPr>
        <w:t>IUC</w:t>
      </w:r>
      <w:r w:rsidR="00996BBB" w:rsidRPr="00164F2D">
        <w:rPr>
          <w:spacing w:val="-10"/>
          <w:w w:val="105"/>
          <w:lang w:val="en-GB"/>
        </w:rPr>
        <w:t xml:space="preserve"> </w:t>
      </w:r>
      <w:r w:rsidR="00996BBB" w:rsidRPr="00164F2D">
        <w:rPr>
          <w:w w:val="105"/>
          <w:lang w:val="en-GB"/>
        </w:rPr>
        <w:t>is</w:t>
      </w:r>
      <w:r w:rsidR="00996BBB" w:rsidRPr="00164F2D">
        <w:rPr>
          <w:spacing w:val="-10"/>
          <w:w w:val="105"/>
          <w:lang w:val="en-GB"/>
        </w:rPr>
        <w:t xml:space="preserve"> </w:t>
      </w:r>
      <w:r w:rsidR="00996BBB" w:rsidRPr="00164F2D">
        <w:rPr>
          <w:w w:val="105"/>
          <w:lang w:val="en-GB"/>
        </w:rPr>
        <w:t>considered</w:t>
      </w:r>
      <w:r w:rsidR="00996BBB" w:rsidRPr="00164F2D">
        <w:rPr>
          <w:spacing w:val="-9"/>
          <w:w w:val="105"/>
          <w:lang w:val="en-GB"/>
        </w:rPr>
        <w:t xml:space="preserve"> </w:t>
      </w:r>
      <w:r w:rsidR="00996BBB" w:rsidRPr="00164F2D">
        <w:rPr>
          <w:w w:val="105"/>
          <w:lang w:val="en-GB"/>
        </w:rPr>
        <w:t>low there is a clear gap between course directors and central administration. He suggested</w:t>
      </w:r>
      <w:r w:rsidR="00996BBB" w:rsidRPr="00164F2D">
        <w:rPr>
          <w:spacing w:val="-13"/>
          <w:w w:val="105"/>
          <w:lang w:val="en-GB"/>
        </w:rPr>
        <w:t xml:space="preserve"> </w:t>
      </w:r>
      <w:r w:rsidRPr="00164F2D">
        <w:rPr>
          <w:spacing w:val="-13"/>
          <w:w w:val="105"/>
          <w:lang w:val="en-GB"/>
        </w:rPr>
        <w:t>different strategies to overcome the gap.</w:t>
      </w:r>
      <w:r w:rsidR="00996BBB" w:rsidRPr="00164F2D">
        <w:rPr>
          <w:w w:val="105"/>
          <w:lang w:val="en-GB"/>
        </w:rPr>
        <w:t xml:space="preserve"> He also suggested raising the membership fee </w:t>
      </w:r>
      <w:r w:rsidR="00996BBB" w:rsidRPr="00164F2D">
        <w:rPr>
          <w:w w:val="105"/>
          <w:lang w:val="en-GB"/>
        </w:rPr>
        <w:lastRenderedPageBreak/>
        <w:t xml:space="preserve">and use the half for student scholarship, which was accepted at the fall meeting of the Executive Committee.  </w:t>
      </w:r>
    </w:p>
    <w:p w14:paraId="5B87A461" w14:textId="67ED8159" w:rsidR="00996BBB" w:rsidRPr="00164F2D" w:rsidRDefault="008C72E5" w:rsidP="00401903">
      <w:pPr>
        <w:ind w:left="426" w:hanging="426"/>
        <w:rPr>
          <w:sz w:val="20"/>
          <w:lang w:val="en-GB"/>
        </w:rPr>
      </w:pPr>
      <w:r w:rsidRPr="00164F2D">
        <w:rPr>
          <w:sz w:val="20"/>
          <w:lang w:val="en-GB"/>
        </w:rPr>
        <w:t>-</w:t>
      </w:r>
      <w:r w:rsidR="00996BBB" w:rsidRPr="00164F2D">
        <w:rPr>
          <w:b/>
          <w:bCs/>
          <w:i/>
          <w:iCs/>
          <w:lang w:val="en-GB"/>
        </w:rPr>
        <w:t xml:space="preserve">Enhancement of IUC’s visibility &amp; value proposition </w:t>
      </w:r>
      <w:r w:rsidR="00996BBB" w:rsidRPr="00164F2D">
        <w:rPr>
          <w:lang w:val="en-GB"/>
        </w:rPr>
        <w:t xml:space="preserve">Mr. Grievink produced an interactive flyer </w:t>
      </w:r>
      <w:r w:rsidRPr="00164F2D">
        <w:rPr>
          <w:lang w:val="en-GB"/>
        </w:rPr>
        <w:t xml:space="preserve">to show membership benefits </w:t>
      </w:r>
      <w:r w:rsidR="00996BBB" w:rsidRPr="00164F2D">
        <w:rPr>
          <w:lang w:val="en-GB"/>
        </w:rPr>
        <w:t xml:space="preserve">and a Google map embedded in the IUC web page showing all member institutions and active course directors and their programmes. The map can be found on the </w:t>
      </w:r>
      <w:hyperlink r:id="rId9" w:history="1">
        <w:r w:rsidR="00996BBB" w:rsidRPr="00164F2D">
          <w:rPr>
            <w:rStyle w:val="Hyperlink"/>
            <w:lang w:val="en-GB"/>
          </w:rPr>
          <w:t>“Connect through the IUC”</w:t>
        </w:r>
      </w:hyperlink>
      <w:r w:rsidR="00996BBB" w:rsidRPr="00164F2D">
        <w:rPr>
          <w:lang w:val="en-GB"/>
        </w:rPr>
        <w:t xml:space="preserve"> web page</w:t>
      </w:r>
      <w:r w:rsidRPr="00164F2D">
        <w:rPr>
          <w:lang w:val="en-GB"/>
        </w:rPr>
        <w:t xml:space="preserve">. He also suggested other promotional solutions which are being implemented by the IUC office. </w:t>
      </w:r>
    </w:p>
    <w:p w14:paraId="590DA6EB" w14:textId="42A80BC1" w:rsidR="00996BBB" w:rsidRPr="00164F2D" w:rsidRDefault="008C72E5" w:rsidP="00401903">
      <w:pPr>
        <w:ind w:left="426" w:hanging="426"/>
        <w:rPr>
          <w:rStyle w:val="Bez"/>
          <w:rFonts w:cstheme="minorHAnsi"/>
          <w:lang w:val="en-GB"/>
        </w:rPr>
      </w:pPr>
      <w:r w:rsidRPr="00164F2D">
        <w:rPr>
          <w:lang w:val="en-GB"/>
        </w:rPr>
        <w:t xml:space="preserve">- </w:t>
      </w:r>
      <w:r w:rsidR="00996BBB" w:rsidRPr="00164F2D">
        <w:rPr>
          <w:rFonts w:cstheme="minorHAnsi"/>
          <w:b/>
          <w:bCs/>
          <w:i/>
          <w:iCs/>
          <w:lang w:val="en-GB"/>
        </w:rPr>
        <w:t>Roadmap to European grants</w:t>
      </w:r>
      <w:r w:rsidRPr="00164F2D">
        <w:rPr>
          <w:rFonts w:cstheme="minorHAnsi"/>
          <w:b/>
          <w:bCs/>
          <w:i/>
          <w:iCs/>
          <w:lang w:val="en-GB"/>
        </w:rPr>
        <w:t xml:space="preserve"> - </w:t>
      </w:r>
      <w:r w:rsidRPr="00164F2D">
        <w:rPr>
          <w:rStyle w:val="Bez"/>
          <w:rFonts w:cstheme="minorHAnsi"/>
          <w:lang w:val="en-GB"/>
        </w:rPr>
        <w:t>I</w:t>
      </w:r>
      <w:r w:rsidR="00996BBB" w:rsidRPr="00164F2D">
        <w:rPr>
          <w:rStyle w:val="Bez"/>
          <w:rFonts w:cstheme="minorHAnsi"/>
          <w:lang w:val="en-GB"/>
        </w:rPr>
        <w:t>n the beginning of April</w:t>
      </w:r>
      <w:r w:rsidR="00996BBB" w:rsidRPr="00164F2D">
        <w:rPr>
          <w:rFonts w:cstheme="minorHAnsi"/>
          <w:lang w:val="en-GB"/>
        </w:rPr>
        <w:t xml:space="preserve"> Mr. Grievink</w:t>
      </w:r>
      <w:r w:rsidR="00996BBB" w:rsidRPr="00164F2D">
        <w:rPr>
          <w:rStyle w:val="Bez"/>
          <w:rFonts w:cstheme="minorHAnsi"/>
          <w:lang w:val="en-GB"/>
        </w:rPr>
        <w:t>, Prof. Bakker and IUC office submitted an application for COVID 19 Extraordinary call for proposal of the CEI in the field of Education and e-learning/distance learning.</w:t>
      </w:r>
      <w:r w:rsidR="00996BBB" w:rsidRPr="00164F2D">
        <w:rPr>
          <w:rFonts w:cstheme="minorHAnsi"/>
          <w:lang w:val="en-GB"/>
        </w:rPr>
        <w:t xml:space="preserve"> The proposal was not awarded the grant (</w:t>
      </w:r>
      <w:r w:rsidR="00F47A16" w:rsidRPr="00164F2D">
        <w:rPr>
          <w:rFonts w:cstheme="minorHAnsi"/>
          <w:lang w:val="en-GB"/>
        </w:rPr>
        <w:t>success rate was 0,4%)</w:t>
      </w:r>
      <w:r w:rsidR="00996BBB" w:rsidRPr="00164F2D">
        <w:rPr>
          <w:rFonts w:cstheme="minorHAnsi"/>
          <w:lang w:val="en-GB"/>
        </w:rPr>
        <w:t xml:space="preserve">. In November, Mr. Grievink put together the IUC office with Mendel University from Brno and aided in applying as partners in the project “Weeks of International Teaching-Inclusive and Digital” in the Action Partnership for Digital Education Readiness (KA226) Call for proposals. This project is in the phase of evaluation. </w:t>
      </w:r>
      <w:r w:rsidR="00996BBB" w:rsidRPr="00164F2D">
        <w:rPr>
          <w:rFonts w:cstheme="minorHAnsi"/>
          <w:w w:val="105"/>
          <w:lang w:val="en-GB"/>
        </w:rPr>
        <w:t>Mr. Grievink</w:t>
      </w:r>
      <w:r w:rsidR="00996BBB" w:rsidRPr="00164F2D">
        <w:rPr>
          <w:rFonts w:cstheme="minorHAnsi"/>
          <w:spacing w:val="-9"/>
          <w:w w:val="105"/>
          <w:lang w:val="en-GB"/>
        </w:rPr>
        <w:t xml:space="preserve"> </w:t>
      </w:r>
      <w:r w:rsidR="00996BBB" w:rsidRPr="00164F2D">
        <w:rPr>
          <w:rFonts w:cstheme="minorHAnsi"/>
          <w:w w:val="105"/>
          <w:lang w:val="en-GB"/>
        </w:rPr>
        <w:t>will</w:t>
      </w:r>
      <w:r w:rsidR="00996BBB" w:rsidRPr="00164F2D">
        <w:rPr>
          <w:rFonts w:cstheme="minorHAnsi"/>
          <w:spacing w:val="-10"/>
          <w:w w:val="105"/>
          <w:lang w:val="en-GB"/>
        </w:rPr>
        <w:t xml:space="preserve"> </w:t>
      </w:r>
      <w:r w:rsidR="00996BBB" w:rsidRPr="00164F2D">
        <w:rPr>
          <w:rFonts w:cstheme="minorHAnsi"/>
          <w:w w:val="105"/>
          <w:lang w:val="en-GB"/>
        </w:rPr>
        <w:t>make</w:t>
      </w:r>
      <w:r w:rsidR="00996BBB" w:rsidRPr="00164F2D">
        <w:rPr>
          <w:rFonts w:cstheme="minorHAnsi"/>
          <w:spacing w:val="-10"/>
          <w:w w:val="105"/>
          <w:lang w:val="en-GB"/>
        </w:rPr>
        <w:t xml:space="preserve"> </w:t>
      </w:r>
      <w:r w:rsidR="00996BBB" w:rsidRPr="00164F2D">
        <w:rPr>
          <w:rFonts w:cstheme="minorHAnsi"/>
          <w:w w:val="105"/>
          <w:lang w:val="en-GB"/>
        </w:rPr>
        <w:t>a</w:t>
      </w:r>
      <w:r w:rsidR="00996BBB" w:rsidRPr="00164F2D">
        <w:rPr>
          <w:rFonts w:cstheme="minorHAnsi"/>
          <w:spacing w:val="-9"/>
          <w:w w:val="105"/>
          <w:lang w:val="en-GB"/>
        </w:rPr>
        <w:t xml:space="preserve"> </w:t>
      </w:r>
      <w:r w:rsidR="00996BBB" w:rsidRPr="00164F2D">
        <w:rPr>
          <w:rFonts w:cstheme="minorHAnsi"/>
          <w:w w:val="105"/>
          <w:lang w:val="en-GB"/>
        </w:rPr>
        <w:t>summary</w:t>
      </w:r>
      <w:r w:rsidR="00996BBB" w:rsidRPr="00164F2D">
        <w:rPr>
          <w:rFonts w:cstheme="minorHAnsi"/>
          <w:spacing w:val="-12"/>
          <w:w w:val="105"/>
          <w:lang w:val="en-GB"/>
        </w:rPr>
        <w:t xml:space="preserve"> </w:t>
      </w:r>
      <w:r w:rsidR="00996BBB" w:rsidRPr="00164F2D">
        <w:rPr>
          <w:rFonts w:cstheme="minorHAnsi"/>
          <w:w w:val="105"/>
          <w:lang w:val="en-GB"/>
        </w:rPr>
        <w:t>of</w:t>
      </w:r>
      <w:r w:rsidR="00996BBB" w:rsidRPr="00164F2D">
        <w:rPr>
          <w:rFonts w:cstheme="minorHAnsi"/>
          <w:spacing w:val="-11"/>
          <w:w w:val="105"/>
          <w:lang w:val="en-GB"/>
        </w:rPr>
        <w:t xml:space="preserve"> </w:t>
      </w:r>
      <w:r w:rsidR="00996BBB" w:rsidRPr="00164F2D">
        <w:rPr>
          <w:rFonts w:cstheme="minorHAnsi"/>
          <w:w w:val="105"/>
          <w:lang w:val="en-GB"/>
        </w:rPr>
        <w:t>the</w:t>
      </w:r>
      <w:r w:rsidR="00996BBB" w:rsidRPr="00164F2D">
        <w:rPr>
          <w:rFonts w:cstheme="minorHAnsi"/>
          <w:spacing w:val="-9"/>
          <w:w w:val="105"/>
          <w:lang w:val="en-GB"/>
        </w:rPr>
        <w:t xml:space="preserve"> </w:t>
      </w:r>
      <w:r w:rsidR="00996BBB" w:rsidRPr="00164F2D">
        <w:rPr>
          <w:rFonts w:cstheme="minorHAnsi"/>
          <w:w w:val="105"/>
          <w:lang w:val="en-GB"/>
        </w:rPr>
        <w:t>promising</w:t>
      </w:r>
      <w:r w:rsidR="00996BBB" w:rsidRPr="00164F2D">
        <w:rPr>
          <w:rFonts w:cstheme="minorHAnsi"/>
          <w:spacing w:val="-8"/>
          <w:w w:val="105"/>
          <w:lang w:val="en-GB"/>
        </w:rPr>
        <w:t xml:space="preserve"> </w:t>
      </w:r>
      <w:r w:rsidR="00996BBB" w:rsidRPr="00164F2D">
        <w:rPr>
          <w:rFonts w:cstheme="minorHAnsi"/>
          <w:w w:val="105"/>
          <w:lang w:val="en-GB"/>
        </w:rPr>
        <w:t>program</w:t>
      </w:r>
      <w:r w:rsidR="00996BBB" w:rsidRPr="00164F2D">
        <w:rPr>
          <w:rFonts w:cstheme="minorHAnsi"/>
          <w:spacing w:val="-8"/>
          <w:w w:val="105"/>
          <w:lang w:val="en-GB"/>
        </w:rPr>
        <w:t xml:space="preserve"> </w:t>
      </w:r>
      <w:r w:rsidR="00996BBB" w:rsidRPr="00164F2D">
        <w:rPr>
          <w:rFonts w:cstheme="minorHAnsi"/>
          <w:w w:val="105"/>
          <w:lang w:val="en-GB"/>
        </w:rPr>
        <w:t>elements</w:t>
      </w:r>
      <w:r w:rsidR="00996BBB" w:rsidRPr="00164F2D">
        <w:rPr>
          <w:rFonts w:cstheme="minorHAnsi"/>
          <w:spacing w:val="-9"/>
          <w:w w:val="105"/>
          <w:lang w:val="en-GB"/>
        </w:rPr>
        <w:t xml:space="preserve"> </w:t>
      </w:r>
      <w:r w:rsidR="00996BBB" w:rsidRPr="00164F2D">
        <w:rPr>
          <w:rFonts w:cstheme="minorHAnsi"/>
          <w:w w:val="105"/>
          <w:lang w:val="en-GB"/>
        </w:rPr>
        <w:t>for</w:t>
      </w:r>
      <w:r w:rsidR="00996BBB" w:rsidRPr="00164F2D">
        <w:rPr>
          <w:rFonts w:cstheme="minorHAnsi"/>
          <w:spacing w:val="-11"/>
          <w:w w:val="105"/>
          <w:lang w:val="en-GB"/>
        </w:rPr>
        <w:t xml:space="preserve"> </w:t>
      </w:r>
      <w:r w:rsidR="00996BBB" w:rsidRPr="00164F2D">
        <w:rPr>
          <w:rFonts w:cstheme="minorHAnsi"/>
          <w:w w:val="105"/>
          <w:lang w:val="en-GB"/>
        </w:rPr>
        <w:t>the</w:t>
      </w:r>
      <w:r w:rsidR="00996BBB" w:rsidRPr="00164F2D">
        <w:rPr>
          <w:rFonts w:cstheme="minorHAnsi"/>
          <w:spacing w:val="-9"/>
          <w:w w:val="105"/>
          <w:lang w:val="en-GB"/>
        </w:rPr>
        <w:t xml:space="preserve"> </w:t>
      </w:r>
      <w:r w:rsidR="00996BBB" w:rsidRPr="00164F2D">
        <w:rPr>
          <w:rFonts w:cstheme="minorHAnsi"/>
          <w:w w:val="105"/>
          <w:lang w:val="en-GB"/>
        </w:rPr>
        <w:t>IUC</w:t>
      </w:r>
      <w:r w:rsidRPr="00164F2D">
        <w:rPr>
          <w:rFonts w:cstheme="minorHAnsi"/>
          <w:w w:val="105"/>
          <w:lang w:val="en-GB"/>
        </w:rPr>
        <w:t xml:space="preserve"> as soon as the financing scheme would be announced by the EU Commission</w:t>
      </w:r>
      <w:r w:rsidR="00996BBB" w:rsidRPr="00164F2D">
        <w:rPr>
          <w:rFonts w:cstheme="minorHAnsi"/>
          <w:w w:val="105"/>
          <w:lang w:val="en-GB"/>
        </w:rPr>
        <w:t>.</w:t>
      </w:r>
    </w:p>
    <w:p w14:paraId="6E636B18" w14:textId="7DB66D7F" w:rsidR="008C72E5" w:rsidRPr="00164F2D" w:rsidRDefault="00996BBB" w:rsidP="00401903">
      <w:pPr>
        <w:pStyle w:val="ListParagraph"/>
        <w:spacing w:after="160" w:line="259" w:lineRule="auto"/>
        <w:ind w:left="426"/>
        <w:rPr>
          <w:rStyle w:val="Bez"/>
          <w:lang w:val="en-GB"/>
        </w:rPr>
      </w:pPr>
      <w:r w:rsidRPr="00164F2D">
        <w:rPr>
          <w:rStyle w:val="Bez"/>
          <w:lang w:val="en-GB"/>
        </w:rPr>
        <w:t>The IUC Secretariat applied for donation from various Croatian corporations</w:t>
      </w:r>
      <w:r w:rsidR="008C72E5" w:rsidRPr="00164F2D">
        <w:rPr>
          <w:rStyle w:val="Bez"/>
          <w:lang w:val="en-GB"/>
        </w:rPr>
        <w:t xml:space="preserve">, Ministries and Foundations </w:t>
      </w:r>
      <w:r w:rsidRPr="00164F2D">
        <w:rPr>
          <w:rStyle w:val="Bez"/>
          <w:lang w:val="en-GB"/>
        </w:rPr>
        <w:t>in order to secure some funding but without any positive response.</w:t>
      </w:r>
    </w:p>
    <w:p w14:paraId="6CD93B75" w14:textId="3BBA5FAE" w:rsidR="00996BBB" w:rsidRPr="00164F2D" w:rsidRDefault="00996BBB" w:rsidP="00401903">
      <w:pPr>
        <w:pStyle w:val="ListParagraph"/>
        <w:spacing w:after="160" w:line="259" w:lineRule="auto"/>
        <w:ind w:left="426"/>
        <w:rPr>
          <w:lang w:val="en-GB"/>
        </w:rPr>
      </w:pPr>
      <w:r w:rsidRPr="00164F2D">
        <w:rPr>
          <w:rStyle w:val="Bez"/>
          <w:lang w:val="en-GB"/>
        </w:rPr>
        <w:t xml:space="preserve">On behalf of the IUC governing bodies, Prof. Pisk, Prof. Bakker and Ms. Bruer put together a proposal for small IUC scholarship (60.000 Euros yearly for 5 years) to support internationalization of EU Accession countries’ academic community. Prof. Šimonović advocated for this initiative and forwarded it to the Permanent representation of Croatia to the EU, office of the Prime-Minister and Ministry of Science and Education. </w:t>
      </w:r>
      <w:r w:rsidRPr="00164F2D">
        <w:rPr>
          <w:lang w:val="en-GB"/>
        </w:rPr>
        <w:t>The intention is to identify possible EU funds that can be used to support the academic community of SE Europe – EU accession countries.</w:t>
      </w:r>
      <w:r w:rsidR="009B0ACD" w:rsidRPr="00164F2D">
        <w:rPr>
          <w:lang w:val="en-GB"/>
        </w:rPr>
        <w:t xml:space="preserve"> Additionally, Prof. Bakker is planning to advertise more the IUC regional scholarship fund – SE European scholarship fund – through social media campaign.</w:t>
      </w:r>
    </w:p>
    <w:p w14:paraId="34C0F91D" w14:textId="4656B4C5" w:rsidR="009B0ACD" w:rsidRPr="00164F2D" w:rsidRDefault="009B0ACD" w:rsidP="00401903">
      <w:pPr>
        <w:pStyle w:val="ListParagraph"/>
        <w:spacing w:after="160" w:line="259" w:lineRule="auto"/>
        <w:ind w:left="426"/>
        <w:rPr>
          <w:lang w:val="en-GB"/>
        </w:rPr>
      </w:pPr>
      <w:r w:rsidRPr="00164F2D">
        <w:rPr>
          <w:lang w:val="en-GB"/>
        </w:rPr>
        <w:t xml:space="preserve">The IUC started discussing with representatives of the Ministry of Science about further support of IUC activities and new discussions are anticipated. </w:t>
      </w:r>
    </w:p>
    <w:p w14:paraId="1CC39D15" w14:textId="6A219FA8" w:rsidR="00996BBB" w:rsidRPr="00164F2D" w:rsidRDefault="00996BBB" w:rsidP="00401903">
      <w:pPr>
        <w:pStyle w:val="ListParagraph"/>
        <w:spacing w:after="160" w:line="259" w:lineRule="auto"/>
        <w:ind w:left="426"/>
        <w:rPr>
          <w:lang w:val="en-GB"/>
        </w:rPr>
      </w:pPr>
      <w:r w:rsidRPr="00164F2D">
        <w:rPr>
          <w:lang w:val="en-GB"/>
        </w:rPr>
        <w:t>In order to secure online payments through IUC web pages IUC needed to adopt General Terms and Conditions and Personal Data Protection documents. These documents are both attached to this document and should be approved by the Association Assembly along with this report.</w:t>
      </w:r>
    </w:p>
    <w:p w14:paraId="6DCFD43F" w14:textId="3BD111FC" w:rsidR="00996BBB" w:rsidRPr="00164F2D" w:rsidRDefault="00996BBB" w:rsidP="00401903">
      <w:pPr>
        <w:pStyle w:val="ListParagraph"/>
        <w:spacing w:after="160" w:line="259" w:lineRule="auto"/>
        <w:ind w:left="426"/>
        <w:rPr>
          <w:lang w:val="en-GB"/>
        </w:rPr>
      </w:pPr>
      <w:r w:rsidRPr="00164F2D">
        <w:rPr>
          <w:lang w:val="en-GB"/>
        </w:rPr>
        <w:t>Executive Committee decided that online participation in IUC programmes (during COVID period and beyond) should be charged 25 Euro per participant.</w:t>
      </w:r>
    </w:p>
    <w:p w14:paraId="759D8BB4" w14:textId="3782BB9B" w:rsidR="00996BBB" w:rsidRPr="00164F2D" w:rsidRDefault="00996BBB" w:rsidP="00401903">
      <w:pPr>
        <w:pStyle w:val="ListParagraph"/>
        <w:spacing w:after="160" w:line="259" w:lineRule="auto"/>
        <w:ind w:left="426"/>
        <w:rPr>
          <w:rStyle w:val="Bez"/>
          <w:lang w:val="en-GB"/>
        </w:rPr>
      </w:pPr>
      <w:r w:rsidRPr="00164F2D">
        <w:rPr>
          <w:lang w:val="en-GB"/>
        </w:rPr>
        <w:t xml:space="preserve">Prof. Pisk and Ms. Bruer were received by the Croatian President Mr. Milanović in November 2020. </w:t>
      </w:r>
    </w:p>
    <w:p w14:paraId="44EA7139" w14:textId="634F9FD1" w:rsidR="00996BBB" w:rsidRPr="00164F2D" w:rsidRDefault="00996BBB" w:rsidP="00401903">
      <w:pPr>
        <w:spacing w:after="160" w:line="259" w:lineRule="auto"/>
        <w:ind w:left="426"/>
        <w:rPr>
          <w:rStyle w:val="Bez"/>
          <w:lang w:val="en-GB"/>
        </w:rPr>
      </w:pPr>
      <w:r w:rsidRPr="00164F2D">
        <w:rPr>
          <w:rStyle w:val="Bez"/>
          <w:lang w:val="en-GB"/>
        </w:rPr>
        <w:t xml:space="preserve">Resignation of membership was received from University of Minnesota (no significant no. of participants) and Technical University of Munich. </w:t>
      </w:r>
    </w:p>
    <w:p w14:paraId="00B30506" w14:textId="75419B62" w:rsidR="00F47A16" w:rsidRPr="00164F2D" w:rsidRDefault="00F47A16" w:rsidP="00401903">
      <w:pPr>
        <w:spacing w:after="160" w:line="259" w:lineRule="auto"/>
        <w:ind w:left="426"/>
        <w:rPr>
          <w:rStyle w:val="Bez"/>
          <w:lang w:val="en-GB"/>
        </w:rPr>
      </w:pPr>
      <w:r w:rsidRPr="00164F2D">
        <w:rPr>
          <w:rStyle w:val="Bez"/>
          <w:lang w:val="en-GB"/>
        </w:rPr>
        <w:t>Preliminary academic programme is prepared but due to Covid pandemic it is expected that other alterations would happen (rescheduling, transferring to online or blended model, etc.) For the same reason the academic programme brochure usually prepared by Prof. Seitz has not been printed yet.</w:t>
      </w:r>
    </w:p>
    <w:p w14:paraId="35E3EAD7" w14:textId="090C7C2C" w:rsidR="00843436" w:rsidRPr="00164F2D" w:rsidRDefault="009D477B" w:rsidP="00401903">
      <w:pPr>
        <w:spacing w:after="160" w:line="259" w:lineRule="auto"/>
        <w:ind w:left="426"/>
        <w:rPr>
          <w:rStyle w:val="Bez"/>
          <w:lang w:val="en-GB"/>
        </w:rPr>
      </w:pPr>
      <w:r w:rsidRPr="00164F2D">
        <w:rPr>
          <w:rStyle w:val="Bez"/>
          <w:lang w:val="en-GB"/>
        </w:rPr>
        <w:lastRenderedPageBreak/>
        <w:t>It is planned that IUC would support conference series in memory of Prof. Kathy Wilkes (Chair of the IUC EC 1988-96) as a result from the</w:t>
      </w:r>
      <w:r w:rsidR="00996BBB" w:rsidRPr="00164F2D">
        <w:rPr>
          <w:rStyle w:val="Bez"/>
          <w:lang w:val="en-GB"/>
        </w:rPr>
        <w:t xml:space="preserve"> collaboration with University of Oxford. First conference</w:t>
      </w:r>
      <w:r w:rsidRPr="00164F2D">
        <w:rPr>
          <w:rStyle w:val="Bez"/>
          <w:lang w:val="en-GB"/>
        </w:rPr>
        <w:t xml:space="preserve"> is</w:t>
      </w:r>
      <w:r w:rsidR="00996BBB" w:rsidRPr="00164F2D">
        <w:rPr>
          <w:rStyle w:val="Bez"/>
          <w:lang w:val="en-GB"/>
        </w:rPr>
        <w:t xml:space="preserve"> scheduled </w:t>
      </w:r>
      <w:r w:rsidRPr="00164F2D">
        <w:rPr>
          <w:rStyle w:val="Bez"/>
          <w:lang w:val="en-GB"/>
        </w:rPr>
        <w:t>for</w:t>
      </w:r>
      <w:r w:rsidR="00996BBB" w:rsidRPr="00164F2D">
        <w:rPr>
          <w:rStyle w:val="Bez"/>
          <w:lang w:val="en-GB"/>
        </w:rPr>
        <w:t xml:space="preserve"> fall 2021</w:t>
      </w:r>
      <w:r w:rsidR="00AF1507">
        <w:rPr>
          <w:rStyle w:val="Bez"/>
          <w:lang w:val="en-GB"/>
        </w:rPr>
        <w:t xml:space="preserve"> in Dubrovnik</w:t>
      </w:r>
      <w:r w:rsidR="00996BBB" w:rsidRPr="00164F2D">
        <w:rPr>
          <w:rStyle w:val="Bez"/>
          <w:lang w:val="en-GB"/>
        </w:rPr>
        <w:t xml:space="preserve">. Second and third conference will be held in Milan and Oxford. </w:t>
      </w:r>
    </w:p>
    <w:p w14:paraId="68FB4F71" w14:textId="382C5EA0" w:rsidR="009D477B" w:rsidRPr="00164F2D" w:rsidRDefault="009D477B" w:rsidP="00401903">
      <w:pPr>
        <w:spacing w:after="160" w:line="259" w:lineRule="auto"/>
        <w:ind w:left="426" w:hanging="426"/>
        <w:rPr>
          <w:rStyle w:val="Bez"/>
          <w:b/>
          <w:bCs/>
          <w:lang w:val="en-GB"/>
        </w:rPr>
      </w:pPr>
      <w:r w:rsidRPr="00164F2D">
        <w:rPr>
          <w:rStyle w:val="Bez"/>
          <w:b/>
          <w:bCs/>
          <w:lang w:val="en-GB"/>
        </w:rPr>
        <w:t>Discussion:</w:t>
      </w:r>
    </w:p>
    <w:p w14:paraId="19370189" w14:textId="3599711F" w:rsidR="009D477B" w:rsidRPr="00164F2D" w:rsidRDefault="009D477B" w:rsidP="00401903">
      <w:pPr>
        <w:spacing w:after="160" w:line="259" w:lineRule="auto"/>
        <w:ind w:left="426" w:hanging="426"/>
        <w:rPr>
          <w:rStyle w:val="Bez"/>
          <w:lang w:val="en-GB"/>
        </w:rPr>
      </w:pPr>
      <w:r w:rsidRPr="00164F2D">
        <w:rPr>
          <w:rStyle w:val="Bez"/>
          <w:lang w:val="en-GB"/>
        </w:rPr>
        <w:t>The report was unanimously accepted with following remarks:</w:t>
      </w:r>
    </w:p>
    <w:p w14:paraId="5A9573AC" w14:textId="32EE0F8E" w:rsidR="009D477B" w:rsidRPr="00164F2D" w:rsidRDefault="000D4A5D" w:rsidP="00401903">
      <w:pPr>
        <w:spacing w:after="160" w:line="259" w:lineRule="auto"/>
        <w:rPr>
          <w:rFonts w:eastAsia="Times New Roman"/>
          <w:lang w:val="en-GB"/>
        </w:rPr>
      </w:pPr>
      <w:r w:rsidRPr="00164F2D">
        <w:rPr>
          <w:lang w:val="en-GB"/>
        </w:rPr>
        <w:t>Mr. Laubert commented that it cannot</w:t>
      </w:r>
      <w:r w:rsidR="00922CB1" w:rsidRPr="00164F2D">
        <w:rPr>
          <w:rFonts w:eastAsia="Times New Roman"/>
          <w:lang w:val="en-GB"/>
        </w:rPr>
        <w:t xml:space="preserve"> be accepted how the UoZ acts towards the IUC: It is unfair and</w:t>
      </w:r>
      <w:r w:rsidR="00401903">
        <w:rPr>
          <w:rFonts w:eastAsia="Times New Roman"/>
          <w:lang w:val="en-GB"/>
        </w:rPr>
        <w:t xml:space="preserve"> </w:t>
      </w:r>
      <w:r w:rsidR="00922CB1" w:rsidRPr="00164F2D">
        <w:rPr>
          <w:rFonts w:eastAsia="Times New Roman"/>
          <w:lang w:val="en-GB"/>
        </w:rPr>
        <w:t>not in accordance with the contract to raise the annual use fee without prior consultation with our DG and/or the IUC office and without giving any explanation. The same goes for the unilateral appropriation of the Library rooms and the lecture rooms which have been let to the IUC for its academic purposes. H</w:t>
      </w:r>
      <w:r w:rsidR="00401903">
        <w:rPr>
          <w:rFonts w:eastAsia="Times New Roman"/>
          <w:lang w:val="en-GB"/>
        </w:rPr>
        <w:t>e suggested</w:t>
      </w:r>
      <w:r w:rsidR="00922CB1" w:rsidRPr="00164F2D">
        <w:rPr>
          <w:rFonts w:eastAsia="Times New Roman"/>
          <w:lang w:val="en-GB"/>
        </w:rPr>
        <w:t xml:space="preserve"> </w:t>
      </w:r>
      <w:r w:rsidR="00401903">
        <w:rPr>
          <w:rFonts w:eastAsia="Times New Roman"/>
          <w:lang w:val="en-GB"/>
        </w:rPr>
        <w:t>c</w:t>
      </w:r>
      <w:r w:rsidR="00922CB1" w:rsidRPr="00164F2D">
        <w:rPr>
          <w:rFonts w:eastAsia="Times New Roman"/>
          <w:lang w:val="en-GB"/>
        </w:rPr>
        <w:t>onside</w:t>
      </w:r>
      <w:r w:rsidR="00401903">
        <w:rPr>
          <w:rFonts w:eastAsia="Times New Roman"/>
          <w:lang w:val="en-GB"/>
        </w:rPr>
        <w:t>ring</w:t>
      </w:r>
      <w:r w:rsidR="00922CB1" w:rsidRPr="00164F2D">
        <w:rPr>
          <w:rFonts w:eastAsia="Times New Roman"/>
          <w:lang w:val="en-GB"/>
        </w:rPr>
        <w:t xml:space="preserve"> to hold back further payments until the authorities of the UoZ decide to behave as agreed upon. </w:t>
      </w:r>
    </w:p>
    <w:p w14:paraId="4807F4EC" w14:textId="69A2E13E" w:rsidR="00922CB1" w:rsidRPr="00164F2D" w:rsidRDefault="00922CB1" w:rsidP="00401903">
      <w:pPr>
        <w:spacing w:after="160" w:line="259" w:lineRule="auto"/>
        <w:rPr>
          <w:rFonts w:eastAsia="Times New Roman"/>
          <w:lang w:val="en-GB"/>
        </w:rPr>
      </w:pPr>
      <w:r w:rsidRPr="00164F2D">
        <w:rPr>
          <w:rFonts w:eastAsia="Times New Roman"/>
          <w:lang w:val="en-GB"/>
        </w:rPr>
        <w:t>These remarks have been endorsed also by Dr. Peter Fischer Appelt.</w:t>
      </w:r>
    </w:p>
    <w:p w14:paraId="28A7FB84" w14:textId="77777777" w:rsidR="00164F2D" w:rsidRPr="00164F2D" w:rsidRDefault="00164F2D" w:rsidP="00401903">
      <w:pPr>
        <w:spacing w:after="160" w:line="259" w:lineRule="auto"/>
        <w:ind w:left="426" w:hanging="426"/>
        <w:rPr>
          <w:rFonts w:eastAsia="Times New Roman"/>
          <w:lang w:val="en-GB"/>
        </w:rPr>
      </w:pPr>
    </w:p>
    <w:p w14:paraId="58AB84B0" w14:textId="77777777" w:rsidR="00922CB1" w:rsidRPr="00164F2D" w:rsidRDefault="00922CB1" w:rsidP="00401903">
      <w:pPr>
        <w:pStyle w:val="ListParagraph"/>
        <w:numPr>
          <w:ilvl w:val="0"/>
          <w:numId w:val="3"/>
        </w:numPr>
        <w:ind w:left="426" w:hanging="426"/>
        <w:rPr>
          <w:lang w:val="en-GB"/>
        </w:rPr>
      </w:pPr>
      <w:r w:rsidRPr="00164F2D">
        <w:rPr>
          <w:lang w:val="en-GB"/>
        </w:rPr>
        <w:t>Financial report for 2020</w:t>
      </w:r>
    </w:p>
    <w:p w14:paraId="66E8FEC3" w14:textId="55AA41D9" w:rsidR="00AA0FD2" w:rsidRPr="00164F2D" w:rsidRDefault="00922CB1" w:rsidP="00401903">
      <w:pPr>
        <w:ind w:left="426"/>
        <w:rPr>
          <w:bCs/>
          <w:lang w:val="en-GB"/>
        </w:rPr>
      </w:pPr>
      <w:r w:rsidRPr="00164F2D">
        <w:rPr>
          <w:lang w:val="en-GB"/>
        </w:rPr>
        <w:t>Abstract: The Support from the Croatian Ministry was not received in 2020, but the IUC used funds leftover from the grant signed in 2019.</w:t>
      </w:r>
      <w:r w:rsidRPr="00164F2D">
        <w:rPr>
          <w:b/>
          <w:bCs/>
          <w:lang w:val="en-GB"/>
        </w:rPr>
        <w:t xml:space="preserve"> </w:t>
      </w:r>
      <w:r w:rsidRPr="00164F2D">
        <w:rPr>
          <w:lang w:val="en-GB"/>
        </w:rPr>
        <w:t>There was one IUC scholarship awarded and 25 Croatian Ministry scholarships.</w:t>
      </w:r>
      <w:r w:rsidR="00AF1507" w:rsidRPr="00AF1507">
        <w:rPr>
          <w:lang w:val="en-GB"/>
        </w:rPr>
        <w:t xml:space="preserve"> Collection of course fees had been very low and amounted to around 12% of fees collected in 2019. Collection of membership fees was at the same level as in 2019. </w:t>
      </w:r>
      <w:r w:rsidRPr="00164F2D">
        <w:rPr>
          <w:lang w:val="en-GB"/>
        </w:rPr>
        <w:t>Utility costs to University of Zagreb have been paid for the first part of the year.</w:t>
      </w:r>
      <w:r w:rsidR="00AA0FD2" w:rsidRPr="00164F2D">
        <w:rPr>
          <w:lang w:val="en-GB"/>
        </w:rPr>
        <w:t xml:space="preserve"> </w:t>
      </w:r>
      <w:r w:rsidRPr="00164F2D">
        <w:rPr>
          <w:bCs/>
          <w:lang w:val="en-GB"/>
        </w:rPr>
        <w:t xml:space="preserve">Although the planned deficit for the year 2020 was 32.300 Euro, the year ended with the deficit of -8.600 Euro. </w:t>
      </w:r>
      <w:r w:rsidR="00AA0FD2" w:rsidRPr="00164F2D">
        <w:rPr>
          <w:bCs/>
          <w:lang w:val="en-GB"/>
        </w:rPr>
        <w:t xml:space="preserve"> Mr. Offerdal prepared the financial reports for 2019 and preliminary budget for 2021</w:t>
      </w:r>
      <w:r w:rsidR="00A51311" w:rsidRPr="00164F2D">
        <w:rPr>
          <w:bCs/>
          <w:lang w:val="en-GB"/>
        </w:rPr>
        <w:t xml:space="preserve"> communicating online. Financial report for 2019 is a part of this report as well. He </w:t>
      </w:r>
      <w:r w:rsidR="00AA0FD2" w:rsidRPr="00164F2D">
        <w:rPr>
          <w:bCs/>
          <w:lang w:val="en-GB"/>
        </w:rPr>
        <w:t>will do the onsite inspection as soon as pandemic measures would allow it.</w:t>
      </w:r>
    </w:p>
    <w:p w14:paraId="4E7DF317" w14:textId="4F68B152" w:rsidR="00A51311" w:rsidRPr="00164F2D" w:rsidRDefault="00A51311" w:rsidP="00401903">
      <w:pPr>
        <w:ind w:left="426"/>
        <w:rPr>
          <w:bCs/>
          <w:lang w:val="en-GB"/>
        </w:rPr>
      </w:pPr>
      <w:r w:rsidRPr="00164F2D">
        <w:rPr>
          <w:bCs/>
          <w:lang w:val="en-GB"/>
        </w:rPr>
        <w:t>Financial report for 2020 was unanimously approved.</w:t>
      </w:r>
    </w:p>
    <w:p w14:paraId="7E6783BB" w14:textId="77777777" w:rsidR="00164F2D" w:rsidRPr="00164F2D" w:rsidRDefault="00164F2D" w:rsidP="00401903">
      <w:pPr>
        <w:ind w:left="426" w:hanging="426"/>
        <w:rPr>
          <w:bCs/>
          <w:lang w:val="en-GB"/>
        </w:rPr>
      </w:pPr>
    </w:p>
    <w:p w14:paraId="440048F1" w14:textId="26317471" w:rsidR="00A51311" w:rsidRPr="00164F2D" w:rsidRDefault="00A51311" w:rsidP="00401903">
      <w:pPr>
        <w:pStyle w:val="ListParagraph"/>
        <w:numPr>
          <w:ilvl w:val="0"/>
          <w:numId w:val="3"/>
        </w:numPr>
        <w:ind w:left="426" w:hanging="426"/>
        <w:rPr>
          <w:bCs/>
          <w:lang w:val="en-GB"/>
        </w:rPr>
      </w:pPr>
      <w:r w:rsidRPr="00164F2D">
        <w:rPr>
          <w:bCs/>
          <w:lang w:val="en-GB"/>
        </w:rPr>
        <w:t>Preliminary budget for 2021</w:t>
      </w:r>
    </w:p>
    <w:p w14:paraId="524CEA7E" w14:textId="33690444" w:rsidR="00A51311" w:rsidRPr="00164F2D" w:rsidRDefault="00A51311" w:rsidP="00401903">
      <w:pPr>
        <w:ind w:left="426"/>
        <w:rPr>
          <w:bCs/>
          <w:lang w:val="en-GB"/>
        </w:rPr>
      </w:pPr>
      <w:r w:rsidRPr="00164F2D">
        <w:rPr>
          <w:bCs/>
          <w:lang w:val="en-GB"/>
        </w:rPr>
        <w:t>The preliminary budget for 2021 was attached and unanimously approved with the following remarks:</w:t>
      </w:r>
    </w:p>
    <w:p w14:paraId="7E97B84A" w14:textId="33FB06C8" w:rsidR="00A51311" w:rsidRPr="00164F2D" w:rsidRDefault="00A51311" w:rsidP="00401903">
      <w:pPr>
        <w:ind w:left="426"/>
        <w:rPr>
          <w:rFonts w:eastAsia="Times New Roman"/>
          <w:lang w:val="en-GB"/>
        </w:rPr>
      </w:pPr>
      <w:r w:rsidRPr="00164F2D">
        <w:rPr>
          <w:bCs/>
          <w:lang w:val="en-GB"/>
        </w:rPr>
        <w:t>Mr. Laubert accentuated that</w:t>
      </w:r>
      <w:r w:rsidRPr="00164F2D">
        <w:rPr>
          <w:rFonts w:eastAsia="Times New Roman"/>
          <w:lang w:val="en-GB"/>
        </w:rPr>
        <w:t xml:space="preserve"> the auditor has again pointed out that our budget gives cause for concern in the medium and long run. It would be highly desirable if the IUC could get to a financially independent status. But </w:t>
      </w:r>
      <w:r w:rsidR="005C71FF" w:rsidRPr="00164F2D">
        <w:rPr>
          <w:rFonts w:eastAsia="Times New Roman"/>
          <w:lang w:val="en-GB"/>
        </w:rPr>
        <w:t xml:space="preserve">he thinks it is not realistic </w:t>
      </w:r>
      <w:r w:rsidRPr="00164F2D">
        <w:rPr>
          <w:rFonts w:eastAsia="Times New Roman"/>
          <w:lang w:val="en-GB"/>
        </w:rPr>
        <w:t xml:space="preserve">to break away from any support of the Croatian Science Ministry, since the IUC has always been on the drip of support from Croatia: by using rooms in a building owned by the UoZ and, permanent staff being financed by the same university. From his point of view the only promising direction is to continue and to elaborate communication and negotiations with the Science Ministry as well as with the UoZ, no matter how difficult it is and </w:t>
      </w:r>
      <w:r w:rsidRPr="00164F2D">
        <w:rPr>
          <w:rFonts w:eastAsia="Times New Roman"/>
          <w:lang w:val="en-GB"/>
        </w:rPr>
        <w:lastRenderedPageBreak/>
        <w:t xml:space="preserve">would be. He complimented DG and Executive Secretary, together with </w:t>
      </w:r>
      <w:r w:rsidR="00490516">
        <w:rPr>
          <w:rFonts w:eastAsia="Times New Roman"/>
          <w:lang w:val="en-GB"/>
        </w:rPr>
        <w:t>Prof. Kraljević</w:t>
      </w:r>
      <w:r w:rsidRPr="00164F2D">
        <w:rPr>
          <w:rFonts w:eastAsia="Times New Roman"/>
          <w:lang w:val="en-GB"/>
        </w:rPr>
        <w:t xml:space="preserve"> for doing a remarkable job so far. </w:t>
      </w:r>
      <w:r w:rsidR="00C1698D" w:rsidRPr="00164F2D">
        <w:rPr>
          <w:rFonts w:eastAsia="Times New Roman"/>
          <w:lang w:val="en-GB"/>
        </w:rPr>
        <w:t xml:space="preserve">He also suggested not giving up on trying to find other means of financing, despite his </w:t>
      </w:r>
      <w:r w:rsidR="00164F2D" w:rsidRPr="00164F2D">
        <w:rPr>
          <w:rFonts w:eastAsia="Times New Roman"/>
          <w:lang w:val="en-GB"/>
        </w:rPr>
        <w:t>scepticism</w:t>
      </w:r>
      <w:r w:rsidR="00C1698D" w:rsidRPr="00164F2D">
        <w:rPr>
          <w:rFonts w:eastAsia="Times New Roman"/>
          <w:lang w:val="en-GB"/>
        </w:rPr>
        <w:t xml:space="preserve"> about finding funds or foundations that would be willing to subsidize the IUC’s running operations.</w:t>
      </w:r>
    </w:p>
    <w:p w14:paraId="2EEFB571" w14:textId="6435A12E" w:rsidR="005F6723" w:rsidRPr="00164F2D" w:rsidRDefault="005F6723" w:rsidP="00401903">
      <w:pPr>
        <w:ind w:left="426"/>
        <w:rPr>
          <w:rFonts w:eastAsia="Times New Roman"/>
          <w:lang w:val="en-GB"/>
        </w:rPr>
      </w:pPr>
      <w:r w:rsidRPr="00164F2D">
        <w:rPr>
          <w:rFonts w:eastAsia="Times New Roman"/>
          <w:lang w:val="en-GB"/>
        </w:rPr>
        <w:t>Dr. Peter Fischer Appelt shared the remarks of Mr. Laubert.</w:t>
      </w:r>
    </w:p>
    <w:p w14:paraId="7875527A" w14:textId="77777777" w:rsidR="00164F2D" w:rsidRPr="00164F2D" w:rsidRDefault="00164F2D" w:rsidP="00401903">
      <w:pPr>
        <w:ind w:left="426" w:hanging="426"/>
        <w:rPr>
          <w:rFonts w:eastAsia="Times New Roman"/>
          <w:lang w:val="en-GB"/>
        </w:rPr>
      </w:pPr>
    </w:p>
    <w:p w14:paraId="4BB13EE8" w14:textId="47E9FA52" w:rsidR="005F6723" w:rsidRPr="00164F2D" w:rsidRDefault="005F6723" w:rsidP="00401903">
      <w:pPr>
        <w:pStyle w:val="ListParagraph"/>
        <w:numPr>
          <w:ilvl w:val="0"/>
          <w:numId w:val="3"/>
        </w:numPr>
        <w:ind w:left="426" w:hanging="426"/>
        <w:rPr>
          <w:rFonts w:eastAsia="Times New Roman"/>
          <w:lang w:val="en-GB"/>
        </w:rPr>
      </w:pPr>
      <w:r w:rsidRPr="00164F2D">
        <w:rPr>
          <w:rFonts w:eastAsia="Times New Roman"/>
          <w:lang w:val="en-GB"/>
        </w:rPr>
        <w:t>The Academic programme for 2021 was unanimously accepted.</w:t>
      </w:r>
    </w:p>
    <w:p w14:paraId="7634FA1F" w14:textId="77777777" w:rsidR="00164F2D" w:rsidRPr="00164F2D" w:rsidRDefault="00164F2D" w:rsidP="00401903">
      <w:pPr>
        <w:pStyle w:val="ListParagraph"/>
        <w:ind w:left="426" w:hanging="426"/>
        <w:rPr>
          <w:rFonts w:eastAsia="Times New Roman"/>
          <w:lang w:val="en-GB"/>
        </w:rPr>
      </w:pPr>
    </w:p>
    <w:p w14:paraId="3D667870" w14:textId="77777777" w:rsidR="005F6723" w:rsidRPr="00164F2D" w:rsidRDefault="005F6723" w:rsidP="00401903">
      <w:pPr>
        <w:pStyle w:val="ListParagraph"/>
        <w:ind w:left="426" w:hanging="426"/>
        <w:rPr>
          <w:rFonts w:eastAsia="Times New Roman"/>
          <w:lang w:val="en-GB"/>
        </w:rPr>
      </w:pPr>
    </w:p>
    <w:p w14:paraId="03147EB4" w14:textId="77777777" w:rsidR="00401903" w:rsidRDefault="005F6723" w:rsidP="00401903">
      <w:pPr>
        <w:pStyle w:val="ListParagraph"/>
        <w:numPr>
          <w:ilvl w:val="0"/>
          <w:numId w:val="3"/>
        </w:numPr>
        <w:ind w:left="426" w:hanging="426"/>
        <w:rPr>
          <w:rFonts w:eastAsia="Times New Roman"/>
          <w:lang w:val="en-GB"/>
        </w:rPr>
      </w:pPr>
      <w:r w:rsidRPr="00164F2D">
        <w:rPr>
          <w:rFonts w:eastAsia="Times New Roman"/>
          <w:lang w:val="en-GB"/>
        </w:rPr>
        <w:t>Ms. Bruer informed the Assembly that dates for the 50</w:t>
      </w:r>
      <w:r w:rsidRPr="00164F2D">
        <w:rPr>
          <w:rFonts w:eastAsia="Times New Roman"/>
          <w:vertAlign w:val="superscript"/>
          <w:lang w:val="en-GB"/>
        </w:rPr>
        <w:t>th</w:t>
      </w:r>
      <w:r w:rsidRPr="00164F2D">
        <w:rPr>
          <w:rFonts w:eastAsia="Times New Roman"/>
          <w:lang w:val="en-GB"/>
        </w:rPr>
        <w:t xml:space="preserve"> Anniversary are scheduled for 26 September to 2 October 2022. It has to include the IUC Council. Additional programme needs to be organized. </w:t>
      </w:r>
    </w:p>
    <w:p w14:paraId="7F069A55" w14:textId="2DED48F4" w:rsidR="00053876" w:rsidRPr="00164F2D" w:rsidRDefault="005F6723" w:rsidP="00401903">
      <w:pPr>
        <w:pStyle w:val="ListParagraph"/>
        <w:ind w:left="426"/>
        <w:rPr>
          <w:rFonts w:eastAsia="Times New Roman"/>
          <w:lang w:val="en-GB"/>
        </w:rPr>
      </w:pPr>
      <w:r w:rsidRPr="00164F2D">
        <w:rPr>
          <w:rFonts w:eastAsia="Times New Roman"/>
          <w:lang w:val="en-GB"/>
        </w:rPr>
        <w:t xml:space="preserve">Prof. Bakker suggested, apart from Anniversary week, organizing also a few ‘anniversary events’ throughout the year concerning topics that have been of special interest for the IUC and have a </w:t>
      </w:r>
      <w:r w:rsidR="00164F2D" w:rsidRPr="00164F2D">
        <w:rPr>
          <w:rFonts w:eastAsia="Times New Roman"/>
          <w:lang w:val="en-GB"/>
        </w:rPr>
        <w:t>forward-looking</w:t>
      </w:r>
      <w:r w:rsidRPr="00164F2D">
        <w:rPr>
          <w:rFonts w:eastAsia="Times New Roman"/>
          <w:lang w:val="en-GB"/>
        </w:rPr>
        <w:t xml:space="preserve"> character (the future of -academic freedom/region/the role of academia in conflict, </w:t>
      </w:r>
      <w:r w:rsidR="00164F2D" w:rsidRPr="00164F2D">
        <w:rPr>
          <w:rFonts w:eastAsia="Times New Roman"/>
          <w:lang w:val="en-GB"/>
        </w:rPr>
        <w:t>etc</w:t>
      </w:r>
      <w:r w:rsidRPr="00164F2D">
        <w:rPr>
          <w:rFonts w:eastAsia="Times New Roman"/>
          <w:lang w:val="en-GB"/>
        </w:rPr>
        <w:t>.). He also suggested organi</w:t>
      </w:r>
      <w:r w:rsidR="00053876" w:rsidRPr="00164F2D">
        <w:rPr>
          <w:rFonts w:eastAsia="Times New Roman"/>
          <w:lang w:val="en-GB"/>
        </w:rPr>
        <w:t>z</w:t>
      </w:r>
      <w:r w:rsidRPr="00164F2D">
        <w:rPr>
          <w:rFonts w:eastAsia="Times New Roman"/>
          <w:lang w:val="en-GB"/>
        </w:rPr>
        <w:t>ing during the anniversary week also some online events and make it possible to participate online in events on location</w:t>
      </w:r>
      <w:r w:rsidR="00053876" w:rsidRPr="00164F2D">
        <w:rPr>
          <w:rFonts w:eastAsia="Times New Roman"/>
          <w:lang w:val="en-GB"/>
        </w:rPr>
        <w:t>, which can be beneficial for the Council meeting. He also suggested preparing a</w:t>
      </w:r>
      <w:r w:rsidRPr="00164F2D">
        <w:rPr>
          <w:rFonts w:eastAsia="Times New Roman"/>
          <w:lang w:val="en-GB"/>
        </w:rPr>
        <w:t>n updated version of (or a new) Beyond Frontiers</w:t>
      </w:r>
      <w:r w:rsidR="00053876" w:rsidRPr="00164F2D">
        <w:rPr>
          <w:rFonts w:eastAsia="Times New Roman"/>
          <w:lang w:val="en-GB"/>
        </w:rPr>
        <w:t>. He also suggested</w:t>
      </w:r>
      <w:r w:rsidRPr="00164F2D">
        <w:rPr>
          <w:rFonts w:eastAsia="Times New Roman"/>
          <w:lang w:val="en-GB"/>
        </w:rPr>
        <w:t xml:space="preserve"> one or more alumni events</w:t>
      </w:r>
      <w:r w:rsidR="00053876" w:rsidRPr="00164F2D">
        <w:rPr>
          <w:rFonts w:eastAsia="Times New Roman"/>
          <w:lang w:val="en-GB"/>
        </w:rPr>
        <w:t xml:space="preserve"> since many old participants who are no longer in the academic wish to have the</w:t>
      </w:r>
      <w:r w:rsidRPr="00164F2D">
        <w:rPr>
          <w:rFonts w:eastAsia="Times New Roman"/>
          <w:lang w:val="en-GB"/>
        </w:rPr>
        <w:t xml:space="preserve"> ‘renewed inspiration like in Dubrovnik’</w:t>
      </w:r>
      <w:r w:rsidR="00053876" w:rsidRPr="00164F2D">
        <w:rPr>
          <w:rFonts w:eastAsia="Times New Roman"/>
          <w:lang w:val="en-GB"/>
        </w:rPr>
        <w:t>.</w:t>
      </w:r>
    </w:p>
    <w:p w14:paraId="3B5BAE55" w14:textId="77777777" w:rsidR="00053876" w:rsidRPr="00164F2D" w:rsidRDefault="00053876" w:rsidP="00401903">
      <w:pPr>
        <w:pStyle w:val="ListParagraph"/>
        <w:ind w:left="426" w:hanging="426"/>
        <w:rPr>
          <w:rFonts w:eastAsia="Times New Roman"/>
          <w:lang w:val="en-GB"/>
        </w:rPr>
      </w:pPr>
    </w:p>
    <w:p w14:paraId="02ABB48E" w14:textId="150B2DB7" w:rsidR="00053876" w:rsidRPr="00164F2D" w:rsidRDefault="00053876" w:rsidP="00401903">
      <w:pPr>
        <w:pStyle w:val="ListParagraph"/>
        <w:ind w:left="426"/>
        <w:rPr>
          <w:rFonts w:eastAsia="Times New Roman"/>
          <w:lang w:val="en-GB"/>
        </w:rPr>
      </w:pPr>
      <w:r w:rsidRPr="00164F2D">
        <w:rPr>
          <w:rFonts w:eastAsia="Times New Roman"/>
          <w:lang w:val="en-GB"/>
        </w:rPr>
        <w:t xml:space="preserve">Great majority of members agreed with suggestions of Prof. Bakker, especially online and alumni events. Prof. Žagar also suggested presenting these activities to relevant global media. Dr. Fischer-Appelt recommended inviting </w:t>
      </w:r>
      <w:r w:rsidR="00164F2D" w:rsidRPr="00164F2D">
        <w:rPr>
          <w:rFonts w:eastAsia="Times New Roman"/>
          <w:lang w:val="en-GB"/>
        </w:rPr>
        <w:t xml:space="preserve">the </w:t>
      </w:r>
      <w:r w:rsidRPr="00164F2D">
        <w:rPr>
          <w:rFonts w:eastAsia="Times New Roman"/>
          <w:lang w:val="en-GB"/>
        </w:rPr>
        <w:t>Prime Minister and the Minister of Education to the opening ceremony</w:t>
      </w:r>
      <w:r w:rsidR="00164F2D" w:rsidRPr="00164F2D">
        <w:rPr>
          <w:rFonts w:eastAsia="Times New Roman"/>
          <w:lang w:val="en-GB"/>
        </w:rPr>
        <w:t>.</w:t>
      </w:r>
    </w:p>
    <w:p w14:paraId="7AAE05FB" w14:textId="6DCE62A9" w:rsidR="005F6723" w:rsidRPr="00164F2D" w:rsidRDefault="00053876" w:rsidP="00401903">
      <w:pPr>
        <w:pStyle w:val="ListParagraph"/>
        <w:ind w:left="426"/>
        <w:rPr>
          <w:rFonts w:eastAsia="Times New Roman"/>
          <w:lang w:val="en-GB"/>
        </w:rPr>
      </w:pPr>
      <w:r w:rsidRPr="00164F2D">
        <w:rPr>
          <w:rFonts w:eastAsia="Times New Roman"/>
          <w:lang w:val="en-GB"/>
        </w:rPr>
        <w:t>Prof. Gr</w:t>
      </w:r>
      <w:r w:rsidRPr="00164F2D">
        <w:rPr>
          <w:rFonts w:eastAsia="Times New Roman" w:cstheme="minorHAnsi"/>
          <w:lang w:val="en-GB"/>
        </w:rPr>
        <w:t>ø</w:t>
      </w:r>
      <w:r w:rsidRPr="00164F2D">
        <w:rPr>
          <w:rFonts w:eastAsia="Times New Roman"/>
          <w:lang w:val="en-GB"/>
        </w:rPr>
        <w:t>nmo suggested that the EC should appoint a planning committee for the anniversary events which should come with the programme for the anniversary year, to be adopted in the fall EC meeting</w:t>
      </w:r>
      <w:r w:rsidR="00AF1507">
        <w:rPr>
          <w:rFonts w:eastAsia="Times New Roman"/>
          <w:lang w:val="en-GB"/>
        </w:rPr>
        <w:t>. This suggestion was also supported by many members.</w:t>
      </w:r>
    </w:p>
    <w:p w14:paraId="1C5BD1C7" w14:textId="5F2D21AA" w:rsidR="00922CB1" w:rsidRPr="00164F2D" w:rsidRDefault="00164F2D" w:rsidP="00401903">
      <w:pPr>
        <w:spacing w:after="160" w:line="259" w:lineRule="auto"/>
        <w:ind w:left="426" w:hanging="426"/>
        <w:rPr>
          <w:lang w:val="en-GB"/>
        </w:rPr>
      </w:pPr>
      <w:r w:rsidRPr="00164F2D">
        <w:rPr>
          <w:rFonts w:eastAsia="Times New Roman"/>
          <w:lang w:val="en-GB"/>
        </w:rPr>
        <w:t>The meeting is closed.</w:t>
      </w:r>
    </w:p>
    <w:p w14:paraId="03B51034" w14:textId="77777777" w:rsidR="00843436" w:rsidRPr="00164F2D" w:rsidRDefault="00843436" w:rsidP="00401903">
      <w:pPr>
        <w:pStyle w:val="ListParagraph"/>
        <w:ind w:left="426" w:hanging="426"/>
        <w:rPr>
          <w:lang w:val="en-GB"/>
        </w:rPr>
      </w:pPr>
    </w:p>
    <w:p w14:paraId="543B430D" w14:textId="77777777" w:rsidR="00843436" w:rsidRPr="00164F2D" w:rsidRDefault="00843436" w:rsidP="00401903">
      <w:pPr>
        <w:pStyle w:val="ListParagraph"/>
        <w:ind w:left="426" w:hanging="426"/>
        <w:rPr>
          <w:lang w:val="en-GB"/>
        </w:rPr>
      </w:pPr>
    </w:p>
    <w:p w14:paraId="0088315A" w14:textId="77777777" w:rsidR="00843436" w:rsidRPr="00164F2D" w:rsidRDefault="00843436" w:rsidP="00401903">
      <w:pPr>
        <w:pStyle w:val="ListParagraph"/>
        <w:ind w:left="426" w:hanging="426"/>
        <w:rPr>
          <w:lang w:val="en-GB"/>
        </w:rPr>
      </w:pPr>
    </w:p>
    <w:p w14:paraId="03DA0531" w14:textId="77777777" w:rsidR="00843436" w:rsidRPr="00164F2D" w:rsidRDefault="00843436" w:rsidP="00843436">
      <w:pPr>
        <w:pStyle w:val="ListParagraph"/>
        <w:ind w:left="360"/>
        <w:rPr>
          <w:lang w:val="en-GB"/>
        </w:rPr>
      </w:pPr>
    </w:p>
    <w:p w14:paraId="5E05E4D1" w14:textId="5D608579" w:rsidR="00843436" w:rsidRPr="00164F2D" w:rsidRDefault="00843436" w:rsidP="00843436">
      <w:pPr>
        <w:pStyle w:val="ListParagraph"/>
        <w:ind w:left="360"/>
        <w:rPr>
          <w:lang w:val="en-GB"/>
        </w:rPr>
      </w:pPr>
      <w:r w:rsidRPr="00164F2D">
        <w:rPr>
          <w:lang w:val="en-GB"/>
        </w:rPr>
        <w:t>NB, February 202</w:t>
      </w:r>
      <w:r w:rsidR="001B4F57" w:rsidRPr="00164F2D">
        <w:rPr>
          <w:lang w:val="en-GB"/>
        </w:rPr>
        <w:t>1</w:t>
      </w:r>
    </w:p>
    <w:p w14:paraId="4E1CE319" w14:textId="77777777" w:rsidR="0042120D" w:rsidRPr="00164F2D" w:rsidRDefault="0042120D">
      <w:pPr>
        <w:rPr>
          <w:lang w:val="en-GB"/>
        </w:rPr>
      </w:pPr>
    </w:p>
    <w:sectPr w:rsidR="0042120D" w:rsidRPr="00164F2D" w:rsidSect="009B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F5786"/>
    <w:multiLevelType w:val="hybridMultilevel"/>
    <w:tmpl w:val="1D36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F3230"/>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57074"/>
    <w:multiLevelType w:val="hybridMultilevel"/>
    <w:tmpl w:val="8684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A67E7"/>
    <w:multiLevelType w:val="hybridMultilevel"/>
    <w:tmpl w:val="99BC65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85057A1"/>
    <w:multiLevelType w:val="hybridMultilevel"/>
    <w:tmpl w:val="97EA6E96"/>
    <w:lvl w:ilvl="0" w:tplc="3096359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36"/>
    <w:rsid w:val="00053876"/>
    <w:rsid w:val="000850F2"/>
    <w:rsid w:val="000D4A5D"/>
    <w:rsid w:val="00164F2D"/>
    <w:rsid w:val="001B4F57"/>
    <w:rsid w:val="003C04E9"/>
    <w:rsid w:val="003D50FB"/>
    <w:rsid w:val="00401903"/>
    <w:rsid w:val="0042120D"/>
    <w:rsid w:val="00490516"/>
    <w:rsid w:val="004F4115"/>
    <w:rsid w:val="005C71FF"/>
    <w:rsid w:val="005F6723"/>
    <w:rsid w:val="006F757D"/>
    <w:rsid w:val="007207E3"/>
    <w:rsid w:val="00842AB1"/>
    <w:rsid w:val="00843436"/>
    <w:rsid w:val="00847818"/>
    <w:rsid w:val="008C72E5"/>
    <w:rsid w:val="00922CB1"/>
    <w:rsid w:val="00996BBB"/>
    <w:rsid w:val="009B0ACD"/>
    <w:rsid w:val="009D477B"/>
    <w:rsid w:val="00A51311"/>
    <w:rsid w:val="00AA0FD2"/>
    <w:rsid w:val="00AE65FD"/>
    <w:rsid w:val="00AF1507"/>
    <w:rsid w:val="00B0313C"/>
    <w:rsid w:val="00B93C1A"/>
    <w:rsid w:val="00C1698D"/>
    <w:rsid w:val="00C278D6"/>
    <w:rsid w:val="00F47A1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E9E8"/>
  <w15:chartTrackingRefBased/>
  <w15:docId w15:val="{B9F0CAEB-647B-4518-BCC8-90DFA021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36"/>
    <w:pPr>
      <w:ind w:left="720"/>
      <w:contextualSpacing/>
    </w:pPr>
  </w:style>
  <w:style w:type="character" w:customStyle="1" w:styleId="Bez">
    <w:name w:val="Bez"/>
    <w:rsid w:val="00996BBB"/>
    <w:rPr>
      <w:lang w:val="en-US"/>
    </w:rPr>
  </w:style>
  <w:style w:type="character" w:styleId="Hyperlink">
    <w:name w:val="Hyperlink"/>
    <w:basedOn w:val="DefaultParagraphFont"/>
    <w:uiPriority w:val="99"/>
    <w:unhideWhenUsed/>
    <w:rsid w:val="00996BBB"/>
    <w:rPr>
      <w:color w:val="0563C1" w:themeColor="hyperlink"/>
      <w:u w:val="single"/>
    </w:rPr>
  </w:style>
  <w:style w:type="paragraph" w:styleId="NoSpacing">
    <w:name w:val="No Spacing"/>
    <w:rsid w:val="00996BB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rPr>
  </w:style>
  <w:style w:type="character" w:styleId="UnresolvedMention">
    <w:name w:val="Unresolved Mention"/>
    <w:basedOn w:val="DefaultParagraphFont"/>
    <w:uiPriority w:val="99"/>
    <w:semiHidden/>
    <w:unhideWhenUsed/>
    <w:rsid w:val="008C72E5"/>
    <w:rPr>
      <w:color w:val="605E5C"/>
      <w:shd w:val="clear" w:color="auto" w:fill="E1DFDD"/>
    </w:rPr>
  </w:style>
  <w:style w:type="table" w:styleId="TableGrid">
    <w:name w:val="Table Grid"/>
    <w:basedOn w:val="TableNormal"/>
    <w:uiPriority w:val="39"/>
    <w:rsid w:val="0092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158687">
      <w:bodyDiv w:val="1"/>
      <w:marLeft w:val="0"/>
      <w:marRight w:val="0"/>
      <w:marTop w:val="0"/>
      <w:marBottom w:val="0"/>
      <w:divBdr>
        <w:top w:val="none" w:sz="0" w:space="0" w:color="auto"/>
        <w:left w:val="none" w:sz="0" w:space="0" w:color="auto"/>
        <w:bottom w:val="none" w:sz="0" w:space="0" w:color="auto"/>
        <w:right w:val="none" w:sz="0" w:space="0" w:color="auto"/>
      </w:divBdr>
    </w:div>
    <w:div w:id="20864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c.hr/connect-through-iuc" TargetMode="External"/><Relationship Id="rId3" Type="http://schemas.openxmlformats.org/officeDocument/2006/relationships/styles" Target="styles.xml"/><Relationship Id="rId7" Type="http://schemas.openxmlformats.org/officeDocument/2006/relationships/hyperlink" Target="https://iuc.hr/iuc-working-paper-se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c.hr/online-lectu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uc.hr/connect-through-i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3F31-6D13-4D4D-9E52-88DFF51B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7</cp:revision>
  <dcterms:created xsi:type="dcterms:W3CDTF">2021-03-08T17:33:00Z</dcterms:created>
  <dcterms:modified xsi:type="dcterms:W3CDTF">2021-03-31T07:12:00Z</dcterms:modified>
</cp:coreProperties>
</file>