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C963B" w14:textId="77777777" w:rsidR="00E00057" w:rsidRPr="00F4345C" w:rsidRDefault="00E00057" w:rsidP="00E00057">
      <w:pPr>
        <w:ind w:right="808"/>
        <w:rPr>
          <w:lang w:val="en-GB"/>
        </w:rPr>
      </w:pPr>
      <w:r>
        <w:rPr>
          <w:lang w:val="en-GB"/>
        </w:rPr>
        <w:t>IUC ASSOCIATION REPORT ON OPERATION IN 2020</w:t>
      </w:r>
    </w:p>
    <w:p w14:paraId="58DC2B00" w14:textId="77777777" w:rsidR="00E00057" w:rsidRPr="00F4345C" w:rsidRDefault="00E00057" w:rsidP="00E33AA1">
      <w:pPr>
        <w:rPr>
          <w:lang w:val="en-GB"/>
        </w:rPr>
      </w:pPr>
    </w:p>
    <w:p w14:paraId="116A897A" w14:textId="77777777" w:rsidR="00E00057" w:rsidRDefault="00E00057" w:rsidP="00E33AA1">
      <w:pPr>
        <w:pStyle w:val="ListParagraph"/>
        <w:numPr>
          <w:ilvl w:val="0"/>
          <w:numId w:val="1"/>
        </w:numPr>
        <w:ind w:left="284"/>
        <w:rPr>
          <w:lang w:val="en-GB"/>
        </w:rPr>
      </w:pPr>
      <w:r w:rsidRPr="00F4345C">
        <w:rPr>
          <w:lang w:val="en-GB"/>
        </w:rPr>
        <w:t>Al</w:t>
      </w:r>
      <w:r>
        <w:rPr>
          <w:lang w:val="en-GB"/>
        </w:rPr>
        <w:t>though the</w:t>
      </w:r>
      <w:r w:rsidRPr="00F4345C">
        <w:rPr>
          <w:lang w:val="en-GB"/>
        </w:rPr>
        <w:t xml:space="preserve"> IUC</w:t>
      </w:r>
      <w:r>
        <w:rPr>
          <w:lang w:val="en-GB"/>
        </w:rPr>
        <w:t xml:space="preserve"> opened the year 2020 with one regular course,</w:t>
      </w:r>
      <w:r w:rsidRPr="00F4345C">
        <w:rPr>
          <w:lang w:val="en-GB"/>
        </w:rPr>
        <w:t xml:space="preserve"> due to Corona virus lock-down</w:t>
      </w:r>
      <w:r>
        <w:rPr>
          <w:lang w:val="en-GB"/>
        </w:rPr>
        <w:t>, all</w:t>
      </w:r>
      <w:r w:rsidRPr="00F4345C">
        <w:rPr>
          <w:lang w:val="en-GB"/>
        </w:rPr>
        <w:t xml:space="preserve"> spring programmes have been cancelled/postponed. IUC office has sent suggestions to course directors to offer online </w:t>
      </w:r>
      <w:r>
        <w:rPr>
          <w:lang w:val="en-GB"/>
        </w:rPr>
        <w:t xml:space="preserve">or blended </w:t>
      </w:r>
      <w:r w:rsidRPr="00F4345C">
        <w:rPr>
          <w:lang w:val="en-GB"/>
        </w:rPr>
        <w:t>courses. By the end of the year</w:t>
      </w:r>
      <w:r>
        <w:rPr>
          <w:lang w:val="en-GB"/>
        </w:rPr>
        <w:t>, there were 12 programmes held (mostly online or blended) with 606 participants.</w:t>
      </w:r>
      <w:r w:rsidRPr="00F4345C">
        <w:rPr>
          <w:lang w:val="en-GB"/>
        </w:rPr>
        <w:t xml:space="preserve"> </w:t>
      </w:r>
      <w:r>
        <w:rPr>
          <w:lang w:val="en-GB"/>
        </w:rPr>
        <w:t>In percentage it is 20% of</w:t>
      </w:r>
      <w:r w:rsidRPr="00F4345C">
        <w:rPr>
          <w:lang w:val="en-GB"/>
        </w:rPr>
        <w:t xml:space="preserve"> standard programmes with </w:t>
      </w:r>
      <w:r>
        <w:rPr>
          <w:lang w:val="en-GB"/>
        </w:rPr>
        <w:t>30</w:t>
      </w:r>
      <w:r>
        <w:rPr>
          <w:color w:val="FF0000"/>
          <w:lang w:val="en-GB"/>
        </w:rPr>
        <w:t xml:space="preserve"> </w:t>
      </w:r>
      <w:r w:rsidRPr="00F4345C">
        <w:rPr>
          <w:lang w:val="en-GB"/>
        </w:rPr>
        <w:t>% of standard number of participants</w:t>
      </w:r>
      <w:r>
        <w:rPr>
          <w:lang w:val="en-GB"/>
        </w:rPr>
        <w:t xml:space="preserve"> (online participation included)</w:t>
      </w:r>
      <w:r w:rsidRPr="00F4345C">
        <w:rPr>
          <w:lang w:val="en-GB"/>
        </w:rPr>
        <w:t>.</w:t>
      </w:r>
    </w:p>
    <w:p w14:paraId="3F28C511" w14:textId="77777777" w:rsidR="00E00057" w:rsidRDefault="00E00057" w:rsidP="00E33AA1">
      <w:pPr>
        <w:pStyle w:val="ListParagraph"/>
        <w:ind w:left="284"/>
        <w:rPr>
          <w:lang w:val="en-GB"/>
        </w:rPr>
      </w:pPr>
    </w:p>
    <w:p w14:paraId="1A1CFC6A" w14:textId="77777777" w:rsidR="00E00057" w:rsidRDefault="00E00057" w:rsidP="00E33AA1">
      <w:pPr>
        <w:pStyle w:val="ListParagraph"/>
        <w:numPr>
          <w:ilvl w:val="0"/>
          <w:numId w:val="1"/>
        </w:numPr>
        <w:ind w:left="284"/>
        <w:rPr>
          <w:lang w:val="en-GB"/>
        </w:rPr>
      </w:pPr>
      <w:r>
        <w:rPr>
          <w:lang w:val="en-GB"/>
        </w:rPr>
        <w:t xml:space="preserve">After the initial meeting in February with former State Secretary, Dr. Tome Antičić, due to the pandemic situation and change of government, there had been no meetings at the Ministry of Science until December. The IUC did not have a signed contract with the Ministry for 2020, but used the funds that remained unspent from 2019, which were transferred through University of Rijeka, in the amount of 290.000 KN. There were 25 grantees from Croatian academic institutions and 1 regional grant. </w:t>
      </w:r>
    </w:p>
    <w:p w14:paraId="3EC91175" w14:textId="34BD2659" w:rsidR="00BB3679" w:rsidRDefault="00E00057" w:rsidP="00E33AA1">
      <w:pPr>
        <w:pStyle w:val="ListParagraph"/>
        <w:ind w:left="284"/>
        <w:rPr>
          <w:lang w:val="en-GB"/>
        </w:rPr>
      </w:pPr>
      <w:r w:rsidRPr="00F4345C">
        <w:rPr>
          <w:lang w:val="en-GB"/>
        </w:rPr>
        <w:t xml:space="preserve">Due to extremely low number of participants and programmes, collection of </w:t>
      </w:r>
      <w:r>
        <w:rPr>
          <w:lang w:val="en-GB"/>
        </w:rPr>
        <w:t xml:space="preserve">course </w:t>
      </w:r>
      <w:r w:rsidRPr="00F4345C">
        <w:rPr>
          <w:lang w:val="en-GB"/>
        </w:rPr>
        <w:t xml:space="preserve">fees </w:t>
      </w:r>
      <w:r>
        <w:rPr>
          <w:lang w:val="en-GB"/>
        </w:rPr>
        <w:t>had been</w:t>
      </w:r>
      <w:r w:rsidRPr="00F4345C">
        <w:rPr>
          <w:lang w:val="en-GB"/>
        </w:rPr>
        <w:t xml:space="preserve"> very low and amount</w:t>
      </w:r>
      <w:r>
        <w:rPr>
          <w:lang w:val="en-GB"/>
        </w:rPr>
        <w:t>ed</w:t>
      </w:r>
      <w:r w:rsidRPr="00F4345C">
        <w:rPr>
          <w:lang w:val="en-GB"/>
        </w:rPr>
        <w:t xml:space="preserve"> </w:t>
      </w:r>
      <w:r>
        <w:rPr>
          <w:lang w:val="en-GB"/>
        </w:rPr>
        <w:t>to around 12% of fees collected in 2019. Collection of membership fees was at the same level as in 2019</w:t>
      </w:r>
      <w:r w:rsidR="00BB3679">
        <w:rPr>
          <w:lang w:val="en-GB"/>
        </w:rPr>
        <w:t>.</w:t>
      </w:r>
    </w:p>
    <w:p w14:paraId="1520A44D" w14:textId="717F500F" w:rsidR="00EC75DC" w:rsidRDefault="00EC75DC" w:rsidP="00EC75DC">
      <w:pPr>
        <w:pStyle w:val="ListParagraph"/>
        <w:ind w:left="284"/>
        <w:rPr>
          <w:lang w:val="en-GB"/>
        </w:rPr>
      </w:pPr>
    </w:p>
    <w:p w14:paraId="1C349C30" w14:textId="5C05C787" w:rsidR="00403FE4" w:rsidRPr="00403FE4" w:rsidRDefault="00EC75DC" w:rsidP="00E33AA1">
      <w:pPr>
        <w:pStyle w:val="ListParagraph"/>
        <w:numPr>
          <w:ilvl w:val="0"/>
          <w:numId w:val="1"/>
        </w:numPr>
        <w:tabs>
          <w:tab w:val="left" w:pos="284"/>
        </w:tabs>
        <w:ind w:left="284" w:hanging="284"/>
        <w:rPr>
          <w:lang w:val="en-GB"/>
        </w:rPr>
      </w:pPr>
      <w:r>
        <w:rPr>
          <w:lang w:val="en-GB"/>
        </w:rPr>
        <w:t>The IUC office did not receive an explanation</w:t>
      </w:r>
      <w:r w:rsidR="00422BB6">
        <w:rPr>
          <w:lang w:val="en-GB"/>
        </w:rPr>
        <w:t xml:space="preserve"> from University of Zagreb</w:t>
      </w:r>
      <w:r>
        <w:rPr>
          <w:lang w:val="en-GB"/>
        </w:rPr>
        <w:t xml:space="preserve"> for the increase of its share of utility costs of the building for 2019, during the whole 2020. The bill for the first half of 2020 was aga</w:t>
      </w:r>
      <w:r w:rsidR="0053108F">
        <w:t>in significantly higher than in previous year (112</w:t>
      </w:r>
      <w:r w:rsidR="00422BB6">
        <w:t>.</w:t>
      </w:r>
      <w:r w:rsidR="0053108F">
        <w:t>400 KN compared to 47</w:t>
      </w:r>
      <w:r w:rsidR="00422BB6">
        <w:t>.</w:t>
      </w:r>
      <w:r w:rsidR="0053108F">
        <w:t>000 KN from 2019) and included investments done in the building</w:t>
      </w:r>
      <w:r w:rsidR="00403FE4">
        <w:t xml:space="preserve"> (which is not specified in the contract)</w:t>
      </w:r>
      <w:r w:rsidR="0053108F">
        <w:rPr>
          <w:lang w:val="en-GB"/>
        </w:rPr>
        <w:t>. Members of the IUC governing bodies wrote on several occasions to Rector Boras to ask for meeting to find a solution for these bills</w:t>
      </w:r>
      <w:r w:rsidR="00C36389">
        <w:rPr>
          <w:lang w:val="en-GB"/>
        </w:rPr>
        <w:t xml:space="preserve">. Rector Boras promised to </w:t>
      </w:r>
      <w:r w:rsidR="00044E65">
        <w:rPr>
          <w:lang w:val="en-GB"/>
        </w:rPr>
        <w:t>Prof. Pisk</w:t>
      </w:r>
      <w:r w:rsidR="00C36389">
        <w:rPr>
          <w:lang w:val="en-GB"/>
        </w:rPr>
        <w:t xml:space="preserve"> in November that a meeting would be organised as soon as his health improves,</w:t>
      </w:r>
      <w:r w:rsidR="0053108F">
        <w:rPr>
          <w:lang w:val="en-GB"/>
        </w:rPr>
        <w:t xml:space="preserve"> but</w:t>
      </w:r>
      <w:r w:rsidRPr="0053108F">
        <w:rPr>
          <w:lang w:val="en-GB"/>
        </w:rPr>
        <w:t xml:space="preserve"> </w:t>
      </w:r>
      <w:r w:rsidR="0053108F">
        <w:rPr>
          <w:lang w:val="en-GB"/>
        </w:rPr>
        <w:t>no meeting was</w:t>
      </w:r>
      <w:r w:rsidR="00403FE4">
        <w:rPr>
          <w:lang w:val="en-GB"/>
        </w:rPr>
        <w:t xml:space="preserve"> organised</w:t>
      </w:r>
      <w:r w:rsidR="00C36389">
        <w:rPr>
          <w:lang w:val="en-GB"/>
        </w:rPr>
        <w:t xml:space="preserve"> until now</w:t>
      </w:r>
      <w:r w:rsidR="00403FE4">
        <w:rPr>
          <w:lang w:val="en-GB"/>
        </w:rPr>
        <w:t>. The IUC paid the bill for the first part of the year stressing the need to clear out the issue. The IUC did not receive a bill for the second part of 2020 for its part of utility bills until now.</w:t>
      </w:r>
    </w:p>
    <w:p w14:paraId="1CBA3B25" w14:textId="77777777" w:rsidR="00E00057" w:rsidRDefault="00E00057" w:rsidP="00403FE4">
      <w:pPr>
        <w:pStyle w:val="ListParagraph"/>
        <w:tabs>
          <w:tab w:val="left" w:pos="284"/>
        </w:tabs>
        <w:ind w:left="426" w:right="808" w:hanging="426"/>
        <w:rPr>
          <w:lang w:val="en-GB"/>
        </w:rPr>
      </w:pPr>
    </w:p>
    <w:p w14:paraId="53A44093" w14:textId="12E2EE22" w:rsidR="00403FE4" w:rsidRPr="00403FE4" w:rsidRDefault="00403FE4" w:rsidP="00403FE4">
      <w:pPr>
        <w:pStyle w:val="ListParagraph"/>
        <w:numPr>
          <w:ilvl w:val="0"/>
          <w:numId w:val="1"/>
        </w:numPr>
        <w:tabs>
          <w:tab w:val="left" w:pos="284"/>
        </w:tabs>
        <w:ind w:left="284" w:hanging="284"/>
        <w:rPr>
          <w:lang w:val="en-GB"/>
        </w:rPr>
      </w:pPr>
      <w:r>
        <w:rPr>
          <w:lang w:val="en-GB"/>
        </w:rPr>
        <w:t xml:space="preserve">In beginning of 2020, </w:t>
      </w:r>
      <w:r w:rsidRPr="00403FE4">
        <w:rPr>
          <w:lang w:val="en-GB"/>
        </w:rPr>
        <w:t xml:space="preserve">University of Zagreb has initiated some work in the building. 4 old chestnut trees were removed after the inspection from the Faculty of Agriculture and 4 younger European nettle trees were planted on their spot. The floor was also paved with concrete slabs. </w:t>
      </w:r>
      <w:r>
        <w:rPr>
          <w:lang w:val="en-GB"/>
        </w:rPr>
        <w:t xml:space="preserve">These slabs have later been removed after the inspection from the Conservation office of Ministry of Culture. </w:t>
      </w:r>
    </w:p>
    <w:p w14:paraId="5F4E2297" w14:textId="0A42F0EF" w:rsidR="00403FE4" w:rsidRDefault="00403FE4" w:rsidP="00403FE4">
      <w:pPr>
        <w:pStyle w:val="ListParagraph"/>
        <w:tabs>
          <w:tab w:val="left" w:pos="284"/>
        </w:tabs>
        <w:ind w:left="284"/>
        <w:rPr>
          <w:lang w:val="en-GB"/>
        </w:rPr>
      </w:pPr>
      <w:r>
        <w:rPr>
          <w:lang w:val="en-GB"/>
        </w:rPr>
        <w:t>University of Zagreb has also initiated clearing out of two (out of four) rooms of the library to be rented for the offices of the private Libertas University. Some books (donations to CAAS) have been given away, IUC books remained in the building but are inaccessible due to lack of space. Two classrooms in the building (2 and 4 on the second floor) would be made available to Libertas University from September until end of June. Since these classrooms were also used and reserved by the IUC for longstanding (large) programmes the manager of the building, Mr. Frano Hartman is assuring the IUC office that solution would be found for the period when the IUC has its courses in the building.</w:t>
      </w:r>
    </w:p>
    <w:p w14:paraId="4521BD37" w14:textId="77777777" w:rsidR="00403FE4" w:rsidRDefault="00403FE4" w:rsidP="00403FE4">
      <w:pPr>
        <w:pStyle w:val="ListParagraph"/>
        <w:tabs>
          <w:tab w:val="left" w:pos="284"/>
        </w:tabs>
        <w:ind w:left="284"/>
        <w:rPr>
          <w:lang w:val="en-GB"/>
        </w:rPr>
      </w:pPr>
    </w:p>
    <w:p w14:paraId="2F7BBD47" w14:textId="77777777" w:rsidR="00E00057" w:rsidRDefault="00E00057" w:rsidP="00E00057">
      <w:pPr>
        <w:pStyle w:val="ListParagraph"/>
        <w:numPr>
          <w:ilvl w:val="0"/>
          <w:numId w:val="1"/>
        </w:numPr>
        <w:ind w:left="284" w:right="808"/>
        <w:rPr>
          <w:lang w:val="en-GB"/>
        </w:rPr>
      </w:pPr>
      <w:r>
        <w:rPr>
          <w:lang w:val="en-GB"/>
        </w:rPr>
        <w:t>New web pages were activated with beginning of March 2020 and during the year have been updated.</w:t>
      </w:r>
    </w:p>
    <w:p w14:paraId="39192788" w14:textId="25CB5ABB" w:rsidR="00E00057" w:rsidRPr="002836D8" w:rsidRDefault="00E00057" w:rsidP="00E33AA1">
      <w:pPr>
        <w:pStyle w:val="ListParagraph"/>
        <w:ind w:left="284"/>
        <w:rPr>
          <w:lang w:val="en-GB"/>
        </w:rPr>
      </w:pPr>
      <w:r w:rsidRPr="002836D8">
        <w:rPr>
          <w:lang w:val="en-GB"/>
        </w:rPr>
        <w:t xml:space="preserve">Based upon the suggestion from the IUC to make available free online lectures majority of programmes held in a blended model recorded their lectures and they are now available at the page </w:t>
      </w:r>
      <w:hyperlink r:id="rId6" w:history="1">
        <w:r w:rsidRPr="002836D8">
          <w:rPr>
            <w:rStyle w:val="Hyperlink"/>
            <w:lang w:val="en-GB"/>
          </w:rPr>
          <w:t>https://iuc.hr/online-lectures</w:t>
        </w:r>
      </w:hyperlink>
      <w:r w:rsidRPr="002836D8">
        <w:rPr>
          <w:lang w:val="en-GB"/>
        </w:rPr>
        <w:t xml:space="preserve"> and on Inter-University Centre Dubrovnik YouTube channel.</w:t>
      </w:r>
      <w:r w:rsidR="001C3FBB">
        <w:rPr>
          <w:lang w:val="en-GB"/>
        </w:rPr>
        <w:t xml:space="preserve"> </w:t>
      </w:r>
      <w:r w:rsidR="001C3FBB">
        <w:rPr>
          <w:lang w:val="en-GB"/>
        </w:rPr>
        <w:lastRenderedPageBreak/>
        <w:t>For these online sessions commercial ZOOM programme was used and licence purchased.</w:t>
      </w:r>
      <w:r w:rsidRPr="002836D8">
        <w:rPr>
          <w:lang w:val="en-GB"/>
        </w:rPr>
        <w:t xml:space="preserve"> IUC office has edited all the recordings and they can be searched according to the fields of study.</w:t>
      </w:r>
    </w:p>
    <w:p w14:paraId="1D003AB2" w14:textId="038CAF57" w:rsidR="00BB3679" w:rsidRPr="00A26228" w:rsidRDefault="00E00057" w:rsidP="00E33AA1">
      <w:pPr>
        <w:ind w:left="284"/>
        <w:rPr>
          <w:lang w:val="en-GB"/>
        </w:rPr>
      </w:pPr>
      <w:r>
        <w:rPr>
          <w:lang w:val="en-GB"/>
        </w:rPr>
        <w:t xml:space="preserve">The IUC also started with Working Paper Series - </w:t>
      </w:r>
      <w:hyperlink r:id="rId7" w:history="1">
        <w:r w:rsidRPr="00C77F30">
          <w:rPr>
            <w:rStyle w:val="Hyperlink"/>
            <w:lang w:val="en-GB"/>
          </w:rPr>
          <w:t>https://iuc.hr/iuc-working-paper-series</w:t>
        </w:r>
      </w:hyperlink>
      <w:r>
        <w:rPr>
          <w:lang w:val="en-GB"/>
        </w:rPr>
        <w:t xml:space="preserve"> - initiated and edited by Prof. Bakker. The series aim at generating interest for the ideas and research outcomes presented at IUC activities. Contributions should be of academic quality and can vary </w:t>
      </w:r>
      <w:r w:rsidRPr="00A26228">
        <w:rPr>
          <w:lang w:val="en-GB"/>
        </w:rPr>
        <w:t>along the whole range of disciplines and subjects.</w:t>
      </w:r>
    </w:p>
    <w:p w14:paraId="2D125869" w14:textId="77777777" w:rsidR="00E00057" w:rsidRPr="00E00057" w:rsidRDefault="00E00057" w:rsidP="00E33AA1">
      <w:pPr>
        <w:pStyle w:val="NoSpacing"/>
        <w:widowControl w:val="0"/>
        <w:numPr>
          <w:ilvl w:val="0"/>
          <w:numId w:val="1"/>
        </w:numPr>
        <w:autoSpaceDE w:val="0"/>
        <w:autoSpaceDN w:val="0"/>
        <w:spacing w:before="44" w:line="285" w:lineRule="auto"/>
        <w:ind w:left="284"/>
        <w:rPr>
          <w:rStyle w:val="Bez"/>
          <w:sz w:val="20"/>
        </w:rPr>
      </w:pPr>
      <w:r w:rsidRPr="00A26228">
        <w:rPr>
          <w:rStyle w:val="Bez"/>
        </w:rPr>
        <w:t xml:space="preserve">According to EC decision from October 2019 to engage an outside expert in order to reach a sustainable IUC operation, IUC started cooperation with Mr. Boudewijn Grievink, on the project: Consultancy on Membership Structure &amp; Value Proposition of the IUC. This project </w:t>
      </w:r>
      <w:r>
        <w:rPr>
          <w:rStyle w:val="Bez"/>
        </w:rPr>
        <w:t>was</w:t>
      </w:r>
      <w:r w:rsidRPr="00A26228">
        <w:rPr>
          <w:rStyle w:val="Bez"/>
        </w:rPr>
        <w:t xml:space="preserve"> focusing on the membership structure of the IUC, enhancement of IUC’s visibility &amp; value proposition and a roadmap to European grants</w:t>
      </w:r>
      <w:r>
        <w:rPr>
          <w:rStyle w:val="Bez"/>
        </w:rPr>
        <w:t xml:space="preserve">. </w:t>
      </w:r>
    </w:p>
    <w:p w14:paraId="30F34F33" w14:textId="1B45CA01" w:rsidR="00E00057" w:rsidRPr="00E00057" w:rsidRDefault="00E00057" w:rsidP="00E33AA1">
      <w:pPr>
        <w:ind w:left="284"/>
        <w:rPr>
          <w:sz w:val="20"/>
        </w:rPr>
      </w:pPr>
      <w:r>
        <w:rPr>
          <w:rStyle w:val="Bez"/>
        </w:rPr>
        <w:t>For</w:t>
      </w:r>
      <w:r w:rsidRPr="00EB52E3">
        <w:rPr>
          <w:i/>
          <w:iCs/>
        </w:rPr>
        <w:t xml:space="preserve"> </w:t>
      </w:r>
      <w:r w:rsidRPr="00EB52E3">
        <w:rPr>
          <w:b/>
          <w:bCs/>
          <w:i/>
          <w:iCs/>
        </w:rPr>
        <w:t>Development of Membership structure</w:t>
      </w:r>
      <w:r w:rsidRPr="00F076D2">
        <w:t xml:space="preserve"> </w:t>
      </w:r>
      <w:r>
        <w:t xml:space="preserve">Mr. Grievink </w:t>
      </w:r>
      <w:r w:rsidRPr="00F076D2">
        <w:t>analyz</w:t>
      </w:r>
      <w:r>
        <w:t>ed</w:t>
      </w:r>
      <w:r w:rsidRPr="00F076D2">
        <w:t xml:space="preserve"> different types of IUC members (active/inactive/paying/non</w:t>
      </w:r>
      <w:r>
        <w:t>-</w:t>
      </w:r>
      <w:r w:rsidRPr="00F076D2">
        <w:t>paying). Within this part of the project</w:t>
      </w:r>
      <w:r w:rsidR="00AF257A">
        <w:t>,</w:t>
      </w:r>
      <w:r w:rsidRPr="00F076D2">
        <w:t xml:space="preserve"> he and Prof. Bakker interviewed IUC course directors and concluded that</w:t>
      </w:r>
      <w:r w:rsidR="009D49A8">
        <w:t xml:space="preserve"> although</w:t>
      </w:r>
      <w:r w:rsidRPr="00F076D2">
        <w:t xml:space="preserve"> </w:t>
      </w:r>
      <w:r w:rsidRPr="00EB52E3">
        <w:rPr>
          <w:w w:val="105"/>
        </w:rPr>
        <w:t>the</w:t>
      </w:r>
      <w:r w:rsidRPr="00EB52E3">
        <w:rPr>
          <w:spacing w:val="-10"/>
          <w:w w:val="105"/>
        </w:rPr>
        <w:t xml:space="preserve"> </w:t>
      </w:r>
      <w:r w:rsidRPr="00EB52E3">
        <w:rPr>
          <w:w w:val="105"/>
        </w:rPr>
        <w:t>membership</w:t>
      </w:r>
      <w:r w:rsidRPr="00EB52E3">
        <w:rPr>
          <w:spacing w:val="-10"/>
          <w:w w:val="105"/>
        </w:rPr>
        <w:t xml:space="preserve"> </w:t>
      </w:r>
      <w:r w:rsidRPr="00EB52E3">
        <w:rPr>
          <w:w w:val="105"/>
        </w:rPr>
        <w:t>fee</w:t>
      </w:r>
      <w:r w:rsidRPr="00EB52E3">
        <w:rPr>
          <w:spacing w:val="-10"/>
          <w:w w:val="105"/>
        </w:rPr>
        <w:t xml:space="preserve"> </w:t>
      </w:r>
      <w:r w:rsidRPr="00EB52E3">
        <w:rPr>
          <w:w w:val="105"/>
        </w:rPr>
        <w:t>of</w:t>
      </w:r>
      <w:r w:rsidRPr="00EB52E3">
        <w:rPr>
          <w:spacing w:val="-9"/>
          <w:w w:val="105"/>
        </w:rPr>
        <w:t xml:space="preserve"> </w:t>
      </w:r>
      <w:r w:rsidRPr="00EB52E3">
        <w:rPr>
          <w:w w:val="105"/>
        </w:rPr>
        <w:t>the</w:t>
      </w:r>
      <w:r w:rsidRPr="00EB52E3">
        <w:rPr>
          <w:spacing w:val="-10"/>
          <w:w w:val="105"/>
        </w:rPr>
        <w:t xml:space="preserve"> </w:t>
      </w:r>
      <w:r w:rsidRPr="00EB52E3">
        <w:rPr>
          <w:w w:val="105"/>
        </w:rPr>
        <w:t>IUC</w:t>
      </w:r>
      <w:r w:rsidRPr="00EB52E3">
        <w:rPr>
          <w:spacing w:val="-10"/>
          <w:w w:val="105"/>
        </w:rPr>
        <w:t xml:space="preserve"> </w:t>
      </w:r>
      <w:r w:rsidRPr="00EB52E3">
        <w:rPr>
          <w:w w:val="105"/>
        </w:rPr>
        <w:t>is</w:t>
      </w:r>
      <w:r w:rsidRPr="00EB52E3">
        <w:rPr>
          <w:spacing w:val="-10"/>
          <w:w w:val="105"/>
        </w:rPr>
        <w:t xml:space="preserve"> </w:t>
      </w:r>
      <w:r w:rsidRPr="00EB52E3">
        <w:rPr>
          <w:w w:val="105"/>
        </w:rPr>
        <w:t>considered</w:t>
      </w:r>
      <w:r w:rsidRPr="00EB52E3">
        <w:rPr>
          <w:spacing w:val="-9"/>
          <w:w w:val="105"/>
        </w:rPr>
        <w:t xml:space="preserve"> </w:t>
      </w:r>
      <w:r w:rsidRPr="00EB52E3">
        <w:rPr>
          <w:w w:val="105"/>
        </w:rPr>
        <w:t>low</w:t>
      </w:r>
      <w:r w:rsidR="009D49A8">
        <w:rPr>
          <w:w w:val="105"/>
        </w:rPr>
        <w:t xml:space="preserve"> </w:t>
      </w:r>
      <w:r w:rsidRPr="00EB52E3">
        <w:rPr>
          <w:w w:val="105"/>
        </w:rPr>
        <w:t>there is a clear gap between course directors and central administration. He suggested</w:t>
      </w:r>
      <w:r w:rsidRPr="00EB52E3">
        <w:rPr>
          <w:spacing w:val="-13"/>
          <w:w w:val="105"/>
        </w:rPr>
        <w:t xml:space="preserve"> </w:t>
      </w:r>
      <w:r w:rsidRPr="00EB52E3">
        <w:rPr>
          <w:w w:val="105"/>
        </w:rPr>
        <w:t>send</w:t>
      </w:r>
      <w:r w:rsidR="009D49A8">
        <w:rPr>
          <w:w w:val="105"/>
        </w:rPr>
        <w:t>ing</w:t>
      </w:r>
      <w:r w:rsidRPr="00EB52E3">
        <w:rPr>
          <w:spacing w:val="-13"/>
          <w:w w:val="105"/>
        </w:rPr>
        <w:t xml:space="preserve"> </w:t>
      </w:r>
      <w:r w:rsidRPr="00EB52E3">
        <w:rPr>
          <w:w w:val="105"/>
        </w:rPr>
        <w:t>membership</w:t>
      </w:r>
      <w:r w:rsidRPr="00EB52E3">
        <w:rPr>
          <w:spacing w:val="-13"/>
          <w:w w:val="105"/>
        </w:rPr>
        <w:t xml:space="preserve"> </w:t>
      </w:r>
      <w:r w:rsidRPr="00EB52E3">
        <w:rPr>
          <w:w w:val="105"/>
        </w:rPr>
        <w:t>bill</w:t>
      </w:r>
      <w:r w:rsidRPr="00EB52E3">
        <w:rPr>
          <w:spacing w:val="-13"/>
          <w:w w:val="105"/>
        </w:rPr>
        <w:t xml:space="preserve"> </w:t>
      </w:r>
      <w:r w:rsidRPr="00EB52E3">
        <w:rPr>
          <w:w w:val="105"/>
        </w:rPr>
        <w:t>digitally</w:t>
      </w:r>
      <w:r w:rsidRPr="00EB52E3">
        <w:rPr>
          <w:spacing w:val="-14"/>
          <w:w w:val="105"/>
        </w:rPr>
        <w:t xml:space="preserve"> </w:t>
      </w:r>
      <w:r w:rsidRPr="00EB52E3">
        <w:rPr>
          <w:w w:val="105"/>
        </w:rPr>
        <w:t>to the</w:t>
      </w:r>
      <w:r w:rsidRPr="00EB52E3">
        <w:rPr>
          <w:spacing w:val="-9"/>
          <w:w w:val="105"/>
        </w:rPr>
        <w:t xml:space="preserve"> </w:t>
      </w:r>
      <w:r w:rsidRPr="00EB52E3">
        <w:rPr>
          <w:w w:val="105"/>
        </w:rPr>
        <w:t>contact</w:t>
      </w:r>
      <w:r w:rsidRPr="00EB52E3">
        <w:rPr>
          <w:spacing w:val="-9"/>
          <w:w w:val="105"/>
        </w:rPr>
        <w:t xml:space="preserve"> </w:t>
      </w:r>
      <w:r w:rsidRPr="00EB52E3">
        <w:rPr>
          <w:w w:val="105"/>
        </w:rPr>
        <w:t>person</w:t>
      </w:r>
      <w:r w:rsidRPr="00EB52E3">
        <w:rPr>
          <w:spacing w:val="-10"/>
          <w:w w:val="105"/>
        </w:rPr>
        <w:t xml:space="preserve"> </w:t>
      </w:r>
      <w:r w:rsidRPr="00EB52E3">
        <w:rPr>
          <w:w w:val="105"/>
        </w:rPr>
        <w:t>of</w:t>
      </w:r>
      <w:r w:rsidRPr="00EB52E3">
        <w:rPr>
          <w:spacing w:val="-9"/>
          <w:w w:val="105"/>
        </w:rPr>
        <w:t xml:space="preserve"> </w:t>
      </w:r>
      <w:r w:rsidRPr="00EB52E3">
        <w:rPr>
          <w:w w:val="105"/>
        </w:rPr>
        <w:t>the</w:t>
      </w:r>
      <w:r w:rsidRPr="00EB52E3">
        <w:rPr>
          <w:spacing w:val="-11"/>
          <w:w w:val="105"/>
        </w:rPr>
        <w:t xml:space="preserve"> </w:t>
      </w:r>
      <w:r w:rsidRPr="00EB52E3">
        <w:rPr>
          <w:w w:val="105"/>
        </w:rPr>
        <w:t>member</w:t>
      </w:r>
      <w:r w:rsidRPr="00EB52E3">
        <w:rPr>
          <w:spacing w:val="-9"/>
          <w:w w:val="105"/>
        </w:rPr>
        <w:t xml:space="preserve"> </w:t>
      </w:r>
      <w:r w:rsidRPr="00EB52E3">
        <w:rPr>
          <w:w w:val="105"/>
        </w:rPr>
        <w:t>university,</w:t>
      </w:r>
      <w:r w:rsidRPr="00EB52E3">
        <w:rPr>
          <w:spacing w:val="-10"/>
          <w:w w:val="105"/>
        </w:rPr>
        <w:t xml:space="preserve"> </w:t>
      </w:r>
      <w:r w:rsidRPr="00EB52E3">
        <w:rPr>
          <w:w w:val="105"/>
        </w:rPr>
        <w:t>and</w:t>
      </w:r>
      <w:r w:rsidRPr="00EB52E3">
        <w:rPr>
          <w:spacing w:val="-9"/>
          <w:w w:val="105"/>
        </w:rPr>
        <w:t xml:space="preserve"> </w:t>
      </w:r>
      <w:r w:rsidRPr="00EB52E3">
        <w:rPr>
          <w:w w:val="105"/>
        </w:rPr>
        <w:t>cc</w:t>
      </w:r>
      <w:r w:rsidRPr="00EB52E3">
        <w:rPr>
          <w:spacing w:val="-9"/>
          <w:w w:val="105"/>
        </w:rPr>
        <w:t xml:space="preserve"> </w:t>
      </w:r>
      <w:r w:rsidRPr="00EB52E3">
        <w:rPr>
          <w:w w:val="105"/>
        </w:rPr>
        <w:t>to</w:t>
      </w:r>
      <w:r w:rsidRPr="00EB52E3">
        <w:rPr>
          <w:spacing w:val="-8"/>
          <w:w w:val="105"/>
        </w:rPr>
        <w:t xml:space="preserve"> </w:t>
      </w:r>
      <w:r w:rsidRPr="00EB52E3">
        <w:rPr>
          <w:w w:val="105"/>
        </w:rPr>
        <w:t>the</w:t>
      </w:r>
      <w:r w:rsidRPr="00EB52E3">
        <w:rPr>
          <w:spacing w:val="-9"/>
          <w:w w:val="105"/>
        </w:rPr>
        <w:t xml:space="preserve"> </w:t>
      </w:r>
      <w:r w:rsidRPr="00EB52E3">
        <w:rPr>
          <w:w w:val="105"/>
        </w:rPr>
        <w:t>course</w:t>
      </w:r>
      <w:r w:rsidRPr="00EB52E3">
        <w:rPr>
          <w:spacing w:val="-10"/>
          <w:w w:val="105"/>
        </w:rPr>
        <w:t xml:space="preserve"> </w:t>
      </w:r>
      <w:r w:rsidRPr="00EB52E3">
        <w:rPr>
          <w:w w:val="105"/>
        </w:rPr>
        <w:t>directors</w:t>
      </w:r>
      <w:r w:rsidRPr="00EB52E3">
        <w:rPr>
          <w:spacing w:val="-10"/>
          <w:w w:val="105"/>
        </w:rPr>
        <w:t xml:space="preserve"> </w:t>
      </w:r>
      <w:r w:rsidRPr="00EB52E3">
        <w:rPr>
          <w:w w:val="105"/>
        </w:rPr>
        <w:t>of</w:t>
      </w:r>
      <w:r w:rsidRPr="00EB52E3">
        <w:rPr>
          <w:spacing w:val="-10"/>
          <w:w w:val="105"/>
        </w:rPr>
        <w:t xml:space="preserve"> </w:t>
      </w:r>
      <w:r w:rsidRPr="00EB52E3">
        <w:rPr>
          <w:w w:val="105"/>
        </w:rPr>
        <w:t>that member</w:t>
      </w:r>
      <w:r w:rsidRPr="00EB52E3">
        <w:rPr>
          <w:spacing w:val="-2"/>
          <w:w w:val="105"/>
        </w:rPr>
        <w:t xml:space="preserve"> </w:t>
      </w:r>
      <w:r w:rsidRPr="00EB52E3">
        <w:rPr>
          <w:w w:val="105"/>
        </w:rPr>
        <w:t>institution. Mr. Grievink also put together an interactive flyer to promote benefits of IUC membership (Attached</w:t>
      </w:r>
      <w:r w:rsidR="009D49A8">
        <w:rPr>
          <w:w w:val="105"/>
        </w:rPr>
        <w:t xml:space="preserve"> – IUC_Brochure_membership</w:t>
      </w:r>
      <w:r w:rsidRPr="00EB52E3">
        <w:rPr>
          <w:w w:val="105"/>
        </w:rPr>
        <w:t xml:space="preserve">). This protocol was used to send reminders for membership in fall and interest was raised from Hebrew University of Jerusalem, University of Warwick and University of Sussex. </w:t>
      </w:r>
      <w:r>
        <w:rPr>
          <w:w w:val="105"/>
        </w:rPr>
        <w:t xml:space="preserve"> He also suggested raising the membership fee and use the half for student scholarship, which was accepted at the fall meeting of the Executive Committee and such a circular letter was sent this January.  </w:t>
      </w:r>
    </w:p>
    <w:p w14:paraId="01321F63" w14:textId="4FB0AE49" w:rsidR="00E00057" w:rsidRPr="0094299C" w:rsidRDefault="00E00057" w:rsidP="00F84FE5">
      <w:pPr>
        <w:ind w:left="284"/>
      </w:pPr>
      <w:r>
        <w:rPr>
          <w:w w:val="105"/>
        </w:rPr>
        <w:t>For topic</w:t>
      </w:r>
      <w:r w:rsidRPr="00EB52E3">
        <w:rPr>
          <w:i/>
          <w:iCs/>
        </w:rPr>
        <w:t xml:space="preserve"> </w:t>
      </w:r>
      <w:r w:rsidRPr="00EB52E3">
        <w:rPr>
          <w:b/>
          <w:bCs/>
          <w:i/>
          <w:iCs/>
        </w:rPr>
        <w:t>Enhancement of IUC’s visibility &amp; value proposition</w:t>
      </w:r>
      <w:r>
        <w:rPr>
          <w:b/>
          <w:bCs/>
          <w:i/>
          <w:iCs/>
        </w:rPr>
        <w:t xml:space="preserve"> </w:t>
      </w:r>
      <w:r>
        <w:t xml:space="preserve">Mr. Grievink produced an interactive flyer mentioned above and a Google map embedded in the IUC web page showing all member institutions and active course directors and their programmes. The map can be found on the </w:t>
      </w:r>
      <w:hyperlink r:id="rId8" w:history="1">
        <w:r w:rsidRPr="006C4E9E">
          <w:rPr>
            <w:rStyle w:val="Hyperlink"/>
          </w:rPr>
          <w:t>“Connect through the IUC”</w:t>
        </w:r>
      </w:hyperlink>
      <w:r>
        <w:t xml:space="preserve"> web page and it shows a clearer </w:t>
      </w:r>
      <w:r w:rsidRPr="0094299C">
        <w:t>overview of the membership basis of the IUC, along with the strength and potential of the network. The map is being updated regularly by the IUC office.</w:t>
      </w:r>
    </w:p>
    <w:p w14:paraId="1DCE6FEC" w14:textId="4C993B29" w:rsidR="00E00057" w:rsidRDefault="00E00057" w:rsidP="00F84FE5">
      <w:pPr>
        <w:ind w:left="284"/>
        <w:rPr>
          <w:w w:val="105"/>
        </w:rPr>
      </w:pPr>
      <w:r w:rsidRPr="0094299C">
        <w:t>For enhancing the IUC visibility Mr. Grievink also suggested providing links on IUC web pages to journals with published work that resulted from IUC programmes</w:t>
      </w:r>
      <w:r w:rsidRPr="0094299C">
        <w:rPr>
          <w:w w:val="105"/>
        </w:rPr>
        <w:t>. He also</w:t>
      </w:r>
      <w:r w:rsidRPr="00461726">
        <w:rPr>
          <w:w w:val="105"/>
        </w:rPr>
        <w:t xml:space="preserve"> suggested</w:t>
      </w:r>
      <w:r w:rsidRPr="00461726">
        <w:rPr>
          <w:spacing w:val="-9"/>
          <w:w w:val="105"/>
        </w:rPr>
        <w:t xml:space="preserve"> </w:t>
      </w:r>
      <w:r w:rsidRPr="00461726">
        <w:rPr>
          <w:w w:val="105"/>
        </w:rPr>
        <w:t>increasing</w:t>
      </w:r>
      <w:r w:rsidRPr="00461726">
        <w:rPr>
          <w:spacing w:val="-11"/>
          <w:w w:val="105"/>
        </w:rPr>
        <w:t xml:space="preserve"> </w:t>
      </w:r>
      <w:r w:rsidRPr="00461726">
        <w:rPr>
          <w:w w:val="105"/>
        </w:rPr>
        <w:t>the</w:t>
      </w:r>
      <w:r w:rsidRPr="00461726">
        <w:rPr>
          <w:spacing w:val="-9"/>
          <w:w w:val="105"/>
        </w:rPr>
        <w:t xml:space="preserve"> </w:t>
      </w:r>
      <w:r w:rsidRPr="00461726">
        <w:rPr>
          <w:w w:val="105"/>
        </w:rPr>
        <w:t>digital</w:t>
      </w:r>
      <w:r w:rsidRPr="00461726">
        <w:rPr>
          <w:spacing w:val="-9"/>
          <w:w w:val="105"/>
        </w:rPr>
        <w:t xml:space="preserve"> </w:t>
      </w:r>
      <w:r w:rsidRPr="00461726">
        <w:rPr>
          <w:w w:val="105"/>
        </w:rPr>
        <w:t>promotion</w:t>
      </w:r>
      <w:r w:rsidRPr="00461726">
        <w:rPr>
          <w:spacing w:val="-11"/>
          <w:w w:val="105"/>
        </w:rPr>
        <w:t xml:space="preserve"> </w:t>
      </w:r>
      <w:r w:rsidRPr="00461726">
        <w:rPr>
          <w:w w:val="105"/>
        </w:rPr>
        <w:t>of</w:t>
      </w:r>
      <w:r w:rsidRPr="00461726">
        <w:rPr>
          <w:spacing w:val="-10"/>
          <w:w w:val="105"/>
        </w:rPr>
        <w:t xml:space="preserve"> </w:t>
      </w:r>
      <w:r w:rsidRPr="00461726">
        <w:rPr>
          <w:w w:val="105"/>
        </w:rPr>
        <w:t>the</w:t>
      </w:r>
      <w:r w:rsidRPr="00461726">
        <w:rPr>
          <w:spacing w:val="-11"/>
          <w:w w:val="105"/>
        </w:rPr>
        <w:t xml:space="preserve"> </w:t>
      </w:r>
      <w:r w:rsidRPr="00461726">
        <w:rPr>
          <w:w w:val="105"/>
        </w:rPr>
        <w:t>academic</w:t>
      </w:r>
      <w:r w:rsidRPr="00461726">
        <w:rPr>
          <w:spacing w:val="-7"/>
          <w:w w:val="105"/>
        </w:rPr>
        <w:t xml:space="preserve"> </w:t>
      </w:r>
      <w:r w:rsidRPr="00461726">
        <w:rPr>
          <w:w w:val="105"/>
        </w:rPr>
        <w:t>program, next</w:t>
      </w:r>
      <w:r w:rsidRPr="00461726">
        <w:rPr>
          <w:spacing w:val="-11"/>
          <w:w w:val="105"/>
        </w:rPr>
        <w:t xml:space="preserve"> </w:t>
      </w:r>
      <w:r w:rsidRPr="00461726">
        <w:rPr>
          <w:w w:val="105"/>
        </w:rPr>
        <w:t>to</w:t>
      </w:r>
      <w:r w:rsidRPr="00461726">
        <w:rPr>
          <w:spacing w:val="-9"/>
          <w:w w:val="105"/>
        </w:rPr>
        <w:t xml:space="preserve"> </w:t>
      </w:r>
      <w:r w:rsidRPr="00461726">
        <w:rPr>
          <w:w w:val="105"/>
        </w:rPr>
        <w:t>spreading</w:t>
      </w:r>
      <w:r w:rsidRPr="00461726">
        <w:rPr>
          <w:spacing w:val="-12"/>
          <w:w w:val="105"/>
        </w:rPr>
        <w:t xml:space="preserve"> </w:t>
      </w:r>
      <w:r w:rsidRPr="00461726">
        <w:rPr>
          <w:w w:val="105"/>
        </w:rPr>
        <w:t>the</w:t>
      </w:r>
      <w:r w:rsidRPr="00461726">
        <w:rPr>
          <w:spacing w:val="-11"/>
          <w:w w:val="105"/>
        </w:rPr>
        <w:t xml:space="preserve"> </w:t>
      </w:r>
      <w:r w:rsidRPr="00461726">
        <w:rPr>
          <w:w w:val="105"/>
        </w:rPr>
        <w:t>poster.</w:t>
      </w:r>
      <w:r w:rsidRPr="00461726">
        <w:rPr>
          <w:spacing w:val="-13"/>
          <w:w w:val="105"/>
        </w:rPr>
        <w:t xml:space="preserve"> </w:t>
      </w:r>
      <w:r w:rsidRPr="00461726">
        <w:t>He d</w:t>
      </w:r>
      <w:r w:rsidRPr="00461726">
        <w:rPr>
          <w:w w:val="105"/>
        </w:rPr>
        <w:t>eveloped digital banners that</w:t>
      </w:r>
      <w:r w:rsidRPr="00461726">
        <w:rPr>
          <w:spacing w:val="-10"/>
          <w:w w:val="105"/>
        </w:rPr>
        <w:t xml:space="preserve"> </w:t>
      </w:r>
      <w:r w:rsidRPr="00461726">
        <w:rPr>
          <w:w w:val="105"/>
        </w:rPr>
        <w:t>link</w:t>
      </w:r>
      <w:r w:rsidRPr="00461726">
        <w:rPr>
          <w:spacing w:val="-10"/>
          <w:w w:val="105"/>
        </w:rPr>
        <w:t xml:space="preserve"> </w:t>
      </w:r>
      <w:r w:rsidRPr="00461726">
        <w:rPr>
          <w:w w:val="105"/>
        </w:rPr>
        <w:t>to</w:t>
      </w:r>
      <w:r w:rsidRPr="00461726">
        <w:rPr>
          <w:spacing w:val="-7"/>
          <w:w w:val="105"/>
        </w:rPr>
        <w:t xml:space="preserve"> </w:t>
      </w:r>
      <w:r w:rsidRPr="00461726">
        <w:rPr>
          <w:w w:val="105"/>
        </w:rPr>
        <w:t>the</w:t>
      </w:r>
      <w:r w:rsidRPr="00461726">
        <w:rPr>
          <w:spacing w:val="-10"/>
          <w:w w:val="105"/>
        </w:rPr>
        <w:t xml:space="preserve"> </w:t>
      </w:r>
      <w:r w:rsidRPr="00461726">
        <w:rPr>
          <w:w w:val="105"/>
        </w:rPr>
        <w:t>course</w:t>
      </w:r>
      <w:r w:rsidRPr="00461726">
        <w:rPr>
          <w:spacing w:val="-9"/>
          <w:w w:val="105"/>
        </w:rPr>
        <w:t xml:space="preserve"> </w:t>
      </w:r>
      <w:r w:rsidRPr="00461726">
        <w:rPr>
          <w:w w:val="105"/>
        </w:rPr>
        <w:t>description</w:t>
      </w:r>
      <w:r w:rsidRPr="00461726">
        <w:rPr>
          <w:spacing w:val="-12"/>
          <w:w w:val="105"/>
        </w:rPr>
        <w:t xml:space="preserve"> </w:t>
      </w:r>
      <w:r w:rsidRPr="00461726">
        <w:rPr>
          <w:w w:val="105"/>
        </w:rPr>
        <w:t>on</w:t>
      </w:r>
      <w:r w:rsidRPr="00461726">
        <w:rPr>
          <w:spacing w:val="-11"/>
          <w:w w:val="105"/>
        </w:rPr>
        <w:t xml:space="preserve"> </w:t>
      </w:r>
      <w:r w:rsidRPr="00461726">
        <w:rPr>
          <w:w w:val="105"/>
        </w:rPr>
        <w:t>the</w:t>
      </w:r>
      <w:r w:rsidRPr="00461726">
        <w:rPr>
          <w:spacing w:val="-9"/>
          <w:w w:val="105"/>
        </w:rPr>
        <w:t xml:space="preserve"> </w:t>
      </w:r>
      <w:r w:rsidRPr="00461726">
        <w:rPr>
          <w:w w:val="105"/>
        </w:rPr>
        <w:t>IUC</w:t>
      </w:r>
      <w:r w:rsidRPr="00461726">
        <w:rPr>
          <w:spacing w:val="-12"/>
          <w:w w:val="105"/>
        </w:rPr>
        <w:t xml:space="preserve"> </w:t>
      </w:r>
      <w:r w:rsidRPr="00461726">
        <w:rPr>
          <w:w w:val="105"/>
        </w:rPr>
        <w:t>webpages</w:t>
      </w:r>
      <w:r w:rsidRPr="00461726">
        <w:rPr>
          <w:spacing w:val="-9"/>
          <w:w w:val="105"/>
        </w:rPr>
        <w:t xml:space="preserve"> </w:t>
      </w:r>
      <w:r w:rsidRPr="00461726">
        <w:rPr>
          <w:w w:val="105"/>
        </w:rPr>
        <w:t>and can also</w:t>
      </w:r>
      <w:r w:rsidRPr="00461726">
        <w:rPr>
          <w:spacing w:val="-10"/>
          <w:w w:val="105"/>
        </w:rPr>
        <w:t xml:space="preserve"> </w:t>
      </w:r>
      <w:r w:rsidRPr="00461726">
        <w:rPr>
          <w:w w:val="105"/>
        </w:rPr>
        <w:t>be</w:t>
      </w:r>
      <w:r w:rsidRPr="00461726">
        <w:rPr>
          <w:spacing w:val="-9"/>
          <w:w w:val="105"/>
        </w:rPr>
        <w:t xml:space="preserve"> </w:t>
      </w:r>
      <w:r w:rsidRPr="00461726">
        <w:rPr>
          <w:w w:val="105"/>
        </w:rPr>
        <w:t>made</w:t>
      </w:r>
      <w:r w:rsidRPr="00461726">
        <w:rPr>
          <w:spacing w:val="-8"/>
          <w:w w:val="105"/>
        </w:rPr>
        <w:t xml:space="preserve"> </w:t>
      </w:r>
      <w:r w:rsidRPr="00461726">
        <w:rPr>
          <w:w w:val="105"/>
        </w:rPr>
        <w:t>available</w:t>
      </w:r>
      <w:r w:rsidRPr="00461726">
        <w:rPr>
          <w:spacing w:val="-9"/>
          <w:w w:val="105"/>
        </w:rPr>
        <w:t xml:space="preserve"> </w:t>
      </w:r>
      <w:r w:rsidRPr="00461726">
        <w:rPr>
          <w:w w:val="105"/>
        </w:rPr>
        <w:t>to</w:t>
      </w:r>
      <w:r w:rsidRPr="00461726">
        <w:rPr>
          <w:spacing w:val="-8"/>
          <w:w w:val="105"/>
        </w:rPr>
        <w:t xml:space="preserve"> </w:t>
      </w:r>
      <w:r w:rsidRPr="00461726">
        <w:rPr>
          <w:w w:val="105"/>
        </w:rPr>
        <w:t>the</w:t>
      </w:r>
      <w:r w:rsidRPr="00461726">
        <w:rPr>
          <w:spacing w:val="-8"/>
          <w:w w:val="105"/>
        </w:rPr>
        <w:t xml:space="preserve"> </w:t>
      </w:r>
      <w:r w:rsidRPr="00461726">
        <w:rPr>
          <w:w w:val="105"/>
        </w:rPr>
        <w:t>course</w:t>
      </w:r>
      <w:r w:rsidRPr="00461726">
        <w:rPr>
          <w:spacing w:val="-7"/>
          <w:w w:val="105"/>
        </w:rPr>
        <w:t xml:space="preserve"> </w:t>
      </w:r>
      <w:r w:rsidRPr="00461726">
        <w:rPr>
          <w:w w:val="105"/>
        </w:rPr>
        <w:t>directors</w:t>
      </w:r>
      <w:r w:rsidRPr="00461726">
        <w:rPr>
          <w:spacing w:val="-8"/>
          <w:w w:val="105"/>
        </w:rPr>
        <w:t xml:space="preserve"> </w:t>
      </w:r>
      <w:r w:rsidRPr="00461726">
        <w:rPr>
          <w:w w:val="105"/>
        </w:rPr>
        <w:t>and</w:t>
      </w:r>
      <w:r w:rsidRPr="00461726">
        <w:rPr>
          <w:spacing w:val="-9"/>
          <w:w w:val="105"/>
        </w:rPr>
        <w:t xml:space="preserve"> </w:t>
      </w:r>
      <w:r w:rsidRPr="00461726">
        <w:rPr>
          <w:w w:val="105"/>
        </w:rPr>
        <w:t>lecturers</w:t>
      </w:r>
      <w:r w:rsidRPr="00461726">
        <w:rPr>
          <w:spacing w:val="-9"/>
          <w:w w:val="105"/>
        </w:rPr>
        <w:t xml:space="preserve"> </w:t>
      </w:r>
      <w:r w:rsidRPr="00461726">
        <w:rPr>
          <w:w w:val="105"/>
        </w:rPr>
        <w:t>to</w:t>
      </w:r>
      <w:r w:rsidRPr="00461726">
        <w:rPr>
          <w:spacing w:val="-9"/>
          <w:w w:val="105"/>
        </w:rPr>
        <w:t xml:space="preserve"> </w:t>
      </w:r>
      <w:r w:rsidRPr="00461726">
        <w:rPr>
          <w:w w:val="105"/>
        </w:rPr>
        <w:t>add</w:t>
      </w:r>
      <w:r w:rsidRPr="00461726">
        <w:rPr>
          <w:spacing w:val="-9"/>
          <w:w w:val="105"/>
        </w:rPr>
        <w:t xml:space="preserve"> </w:t>
      </w:r>
      <w:r w:rsidRPr="00461726">
        <w:rPr>
          <w:w w:val="105"/>
        </w:rPr>
        <w:t>to</w:t>
      </w:r>
      <w:r w:rsidRPr="00461726">
        <w:rPr>
          <w:spacing w:val="-7"/>
          <w:w w:val="105"/>
        </w:rPr>
        <w:t xml:space="preserve"> </w:t>
      </w:r>
      <w:r w:rsidRPr="00461726">
        <w:rPr>
          <w:w w:val="105"/>
        </w:rPr>
        <w:t>websites,</w:t>
      </w:r>
      <w:r w:rsidRPr="00461726">
        <w:rPr>
          <w:spacing w:val="-9"/>
          <w:w w:val="105"/>
        </w:rPr>
        <w:t xml:space="preserve"> </w:t>
      </w:r>
      <w:r w:rsidRPr="00461726">
        <w:rPr>
          <w:w w:val="105"/>
        </w:rPr>
        <w:t>their</w:t>
      </w:r>
      <w:r w:rsidRPr="00461726">
        <w:rPr>
          <w:spacing w:val="-8"/>
          <w:w w:val="105"/>
        </w:rPr>
        <w:t xml:space="preserve"> </w:t>
      </w:r>
      <w:r w:rsidRPr="00461726">
        <w:rPr>
          <w:w w:val="105"/>
        </w:rPr>
        <w:t>email signature and social media. This suggestion</w:t>
      </w:r>
      <w:r w:rsidRPr="00461726">
        <w:t xml:space="preserve"> was communicated to course directors in the circular letter, but will also be offered in direct communication. Another suggestion is to advertise IUC programmes th</w:t>
      </w:r>
      <w:r>
        <w:t>r</w:t>
      </w:r>
      <w:r w:rsidRPr="00461726">
        <w:t>ou</w:t>
      </w:r>
      <w:r>
        <w:t>g</w:t>
      </w:r>
      <w:r w:rsidRPr="00461726">
        <w:t xml:space="preserve">h </w:t>
      </w:r>
      <w:r w:rsidRPr="00461726">
        <w:rPr>
          <w:w w:val="105"/>
        </w:rPr>
        <w:t>social media (Facebook,</w:t>
      </w:r>
      <w:r w:rsidRPr="00461726">
        <w:rPr>
          <w:spacing w:val="-13"/>
          <w:w w:val="105"/>
        </w:rPr>
        <w:t xml:space="preserve"> </w:t>
      </w:r>
      <w:r w:rsidRPr="00461726">
        <w:rPr>
          <w:w w:val="105"/>
        </w:rPr>
        <w:t>Instagram</w:t>
      </w:r>
      <w:r w:rsidRPr="00461726">
        <w:rPr>
          <w:spacing w:val="-10"/>
          <w:w w:val="105"/>
        </w:rPr>
        <w:t xml:space="preserve"> </w:t>
      </w:r>
      <w:r w:rsidRPr="00461726">
        <w:rPr>
          <w:w w:val="105"/>
        </w:rPr>
        <w:t>and</w:t>
      </w:r>
      <w:r w:rsidRPr="00461726">
        <w:rPr>
          <w:spacing w:val="-13"/>
          <w:w w:val="105"/>
        </w:rPr>
        <w:t xml:space="preserve"> </w:t>
      </w:r>
      <w:r w:rsidRPr="00461726">
        <w:rPr>
          <w:w w:val="105"/>
        </w:rPr>
        <w:t xml:space="preserve">LinkedIn) for acceptable advertisement fees since these adds can target specific groups. </w:t>
      </w:r>
    </w:p>
    <w:p w14:paraId="53AA3BB6" w14:textId="5CC191D6" w:rsidR="004075E3" w:rsidRPr="00F84FE5" w:rsidRDefault="00E00057" w:rsidP="00F84FE5">
      <w:pPr>
        <w:ind w:left="284"/>
        <w:rPr>
          <w:rFonts w:cstheme="minorHAnsi"/>
          <w:lang w:val="en-GB"/>
        </w:rPr>
      </w:pPr>
      <w:r w:rsidRPr="00F84FE5">
        <w:rPr>
          <w:rFonts w:cstheme="minorHAnsi"/>
        </w:rPr>
        <w:t xml:space="preserve">Within the part of the project that deals with </w:t>
      </w:r>
      <w:r w:rsidRPr="00F84FE5">
        <w:rPr>
          <w:rFonts w:cstheme="minorHAnsi"/>
          <w:b/>
          <w:bCs/>
          <w:i/>
          <w:iCs/>
        </w:rPr>
        <w:t xml:space="preserve">Roadmap to European grants </w:t>
      </w:r>
      <w:r w:rsidRPr="00F84FE5">
        <w:rPr>
          <w:rStyle w:val="Bez"/>
          <w:rFonts w:cstheme="minorHAnsi"/>
        </w:rPr>
        <w:t>in the beginning of April</w:t>
      </w:r>
      <w:r w:rsidRPr="00F84FE5">
        <w:rPr>
          <w:rFonts w:cstheme="minorHAnsi"/>
        </w:rPr>
        <w:t xml:space="preserve"> Mr. Grievink</w:t>
      </w:r>
      <w:r w:rsidRPr="00F84FE5">
        <w:rPr>
          <w:rStyle w:val="Bez"/>
          <w:rFonts w:cstheme="minorHAnsi"/>
        </w:rPr>
        <w:t>, Prof. Bakker and IUC office submitted an application for COVID 19 Extraordinary call for proposal of the Central European Initiative in the field of Education and e-learning/distance learning (EDU).</w:t>
      </w:r>
      <w:r w:rsidRPr="00F84FE5">
        <w:rPr>
          <w:rFonts w:cstheme="minorHAnsi"/>
          <w:lang w:val="en-GB"/>
        </w:rPr>
        <w:t xml:space="preserve"> The IUC proposal was not awarded the grant (22 out of almost 6000 eligible projects was elected. In November, Mr. Grievink put together the IUC office with Mendel University from Brno and aided in applying as partners in the project “Weeks of </w:t>
      </w:r>
      <w:r w:rsidRPr="00F84FE5">
        <w:rPr>
          <w:rFonts w:cstheme="minorHAnsi"/>
          <w:lang w:val="en-GB"/>
        </w:rPr>
        <w:lastRenderedPageBreak/>
        <w:t xml:space="preserve">International Teaching-Inclusive and Digital” in the Action Partnership for Digital Education Readiness (KA226) Call for proposals. This project is in the phase of evaluation. </w:t>
      </w:r>
    </w:p>
    <w:p w14:paraId="0F2720BC" w14:textId="70F90F83" w:rsidR="00BB3679" w:rsidRPr="00BB3679" w:rsidRDefault="0094299C" w:rsidP="00BB3679">
      <w:pPr>
        <w:ind w:left="284"/>
        <w:rPr>
          <w:rStyle w:val="Bez"/>
          <w:rFonts w:cstheme="minorHAnsi"/>
          <w:w w:val="105"/>
        </w:rPr>
      </w:pPr>
      <w:r w:rsidRPr="00F84FE5">
        <w:rPr>
          <w:rFonts w:cstheme="minorHAnsi"/>
          <w:lang w:val="en-GB"/>
        </w:rPr>
        <w:t xml:space="preserve">Mr. Grievink also confirmed the information that IUC cannot apply for an Erasmus Charter due to its status of an NGO. </w:t>
      </w:r>
      <w:r w:rsidRPr="00F84FE5">
        <w:rPr>
          <w:rFonts w:cstheme="minorHAnsi"/>
          <w:w w:val="105"/>
        </w:rPr>
        <w:t>Since</w:t>
      </w:r>
      <w:r w:rsidRPr="00F84FE5">
        <w:rPr>
          <w:rFonts w:cstheme="minorHAnsi"/>
          <w:spacing w:val="-12"/>
          <w:w w:val="105"/>
        </w:rPr>
        <w:t xml:space="preserve"> </w:t>
      </w:r>
      <w:r w:rsidRPr="00F84FE5">
        <w:rPr>
          <w:rFonts w:cstheme="minorHAnsi"/>
          <w:w w:val="105"/>
        </w:rPr>
        <w:t>the</w:t>
      </w:r>
      <w:r w:rsidRPr="00F84FE5">
        <w:rPr>
          <w:rFonts w:cstheme="minorHAnsi"/>
          <w:spacing w:val="-11"/>
          <w:w w:val="105"/>
        </w:rPr>
        <w:t xml:space="preserve"> </w:t>
      </w:r>
      <w:r w:rsidRPr="00F84FE5">
        <w:rPr>
          <w:rFonts w:cstheme="minorHAnsi"/>
          <w:w w:val="105"/>
        </w:rPr>
        <w:t>Multiannual</w:t>
      </w:r>
      <w:r w:rsidRPr="00F84FE5">
        <w:rPr>
          <w:rFonts w:cstheme="minorHAnsi"/>
          <w:spacing w:val="-11"/>
          <w:w w:val="105"/>
        </w:rPr>
        <w:t xml:space="preserve"> </w:t>
      </w:r>
      <w:r w:rsidRPr="00F84FE5">
        <w:rPr>
          <w:rFonts w:cstheme="minorHAnsi"/>
          <w:w w:val="105"/>
        </w:rPr>
        <w:t>Financial</w:t>
      </w:r>
      <w:r w:rsidRPr="00F84FE5">
        <w:rPr>
          <w:rFonts w:cstheme="minorHAnsi"/>
          <w:spacing w:val="-12"/>
          <w:w w:val="105"/>
        </w:rPr>
        <w:t xml:space="preserve"> </w:t>
      </w:r>
      <w:r w:rsidRPr="00F84FE5">
        <w:rPr>
          <w:rFonts w:cstheme="minorHAnsi"/>
          <w:w w:val="105"/>
        </w:rPr>
        <w:t>Framework</w:t>
      </w:r>
      <w:r w:rsidRPr="00F84FE5">
        <w:rPr>
          <w:rFonts w:cstheme="minorHAnsi"/>
          <w:spacing w:val="-8"/>
          <w:w w:val="105"/>
        </w:rPr>
        <w:t xml:space="preserve"> </w:t>
      </w:r>
      <w:r w:rsidRPr="00F84FE5">
        <w:rPr>
          <w:rFonts w:cstheme="minorHAnsi"/>
          <w:w w:val="105"/>
        </w:rPr>
        <w:t>is</w:t>
      </w:r>
      <w:r w:rsidRPr="00F84FE5">
        <w:rPr>
          <w:rFonts w:cstheme="minorHAnsi"/>
          <w:spacing w:val="-12"/>
          <w:w w:val="105"/>
        </w:rPr>
        <w:t xml:space="preserve"> </w:t>
      </w:r>
      <w:r w:rsidRPr="00F84FE5">
        <w:rPr>
          <w:rFonts w:cstheme="minorHAnsi"/>
          <w:w w:val="105"/>
        </w:rPr>
        <w:t>still</w:t>
      </w:r>
      <w:r w:rsidRPr="00F84FE5">
        <w:rPr>
          <w:rFonts w:cstheme="minorHAnsi"/>
          <w:spacing w:val="-9"/>
          <w:w w:val="105"/>
        </w:rPr>
        <w:t xml:space="preserve"> </w:t>
      </w:r>
      <w:r w:rsidRPr="00F84FE5">
        <w:rPr>
          <w:rFonts w:cstheme="minorHAnsi"/>
          <w:w w:val="105"/>
        </w:rPr>
        <w:t xml:space="preserve">pending at the European Council and Parliament, calls </w:t>
      </w:r>
      <w:r w:rsidRPr="00F84FE5">
        <w:rPr>
          <w:rFonts w:cstheme="minorHAnsi"/>
          <w:lang w:val="en-GB"/>
        </w:rPr>
        <w:t xml:space="preserve">of the </w:t>
      </w:r>
      <w:r w:rsidRPr="00F84FE5">
        <w:rPr>
          <w:rFonts w:cstheme="minorHAnsi"/>
          <w:w w:val="105"/>
        </w:rPr>
        <w:t>new Horizon and Erasmus programs</w:t>
      </w:r>
      <w:r w:rsidRPr="00F84FE5">
        <w:rPr>
          <w:rFonts w:cstheme="minorHAnsi"/>
          <w:spacing w:val="-13"/>
          <w:w w:val="105"/>
        </w:rPr>
        <w:t xml:space="preserve"> </w:t>
      </w:r>
      <w:r w:rsidRPr="00F84FE5">
        <w:rPr>
          <w:rFonts w:cstheme="minorHAnsi"/>
          <w:w w:val="105"/>
        </w:rPr>
        <w:t>by</w:t>
      </w:r>
      <w:r w:rsidRPr="00F84FE5">
        <w:rPr>
          <w:rFonts w:cstheme="minorHAnsi"/>
          <w:spacing w:val="-11"/>
          <w:w w:val="105"/>
        </w:rPr>
        <w:t xml:space="preserve"> </w:t>
      </w:r>
      <w:r w:rsidRPr="00F84FE5">
        <w:rPr>
          <w:rFonts w:cstheme="minorHAnsi"/>
          <w:w w:val="105"/>
        </w:rPr>
        <w:t>the</w:t>
      </w:r>
      <w:r w:rsidRPr="00F84FE5">
        <w:rPr>
          <w:rFonts w:cstheme="minorHAnsi"/>
          <w:spacing w:val="-8"/>
          <w:w w:val="105"/>
        </w:rPr>
        <w:t xml:space="preserve"> </w:t>
      </w:r>
      <w:r w:rsidRPr="00F84FE5">
        <w:rPr>
          <w:rFonts w:cstheme="minorHAnsi"/>
          <w:w w:val="105"/>
        </w:rPr>
        <w:t>European</w:t>
      </w:r>
      <w:r w:rsidRPr="00F84FE5">
        <w:rPr>
          <w:rFonts w:cstheme="minorHAnsi"/>
          <w:spacing w:val="-12"/>
          <w:w w:val="105"/>
        </w:rPr>
        <w:t xml:space="preserve"> </w:t>
      </w:r>
      <w:r w:rsidRPr="00F84FE5">
        <w:rPr>
          <w:rFonts w:cstheme="minorHAnsi"/>
          <w:w w:val="105"/>
        </w:rPr>
        <w:t>Commission are delayed. As soon as the program descriptions</w:t>
      </w:r>
      <w:r w:rsidRPr="00F84FE5">
        <w:rPr>
          <w:rFonts w:cstheme="minorHAnsi"/>
          <w:spacing w:val="-9"/>
          <w:w w:val="105"/>
        </w:rPr>
        <w:t xml:space="preserve"> </w:t>
      </w:r>
      <w:r w:rsidRPr="00F84FE5">
        <w:rPr>
          <w:rFonts w:cstheme="minorHAnsi"/>
          <w:w w:val="105"/>
        </w:rPr>
        <w:t>are</w:t>
      </w:r>
      <w:r w:rsidRPr="00F84FE5">
        <w:rPr>
          <w:rFonts w:cstheme="minorHAnsi"/>
          <w:spacing w:val="-9"/>
          <w:w w:val="105"/>
        </w:rPr>
        <w:t xml:space="preserve"> </w:t>
      </w:r>
      <w:r w:rsidRPr="00F84FE5">
        <w:rPr>
          <w:rFonts w:cstheme="minorHAnsi"/>
          <w:w w:val="105"/>
        </w:rPr>
        <w:t>available,</w:t>
      </w:r>
      <w:r w:rsidRPr="00F84FE5">
        <w:rPr>
          <w:rFonts w:cstheme="minorHAnsi"/>
          <w:spacing w:val="-12"/>
          <w:w w:val="105"/>
        </w:rPr>
        <w:t xml:space="preserve"> </w:t>
      </w:r>
      <w:r w:rsidR="00F84FE5">
        <w:rPr>
          <w:rFonts w:cstheme="minorHAnsi"/>
          <w:w w:val="105"/>
        </w:rPr>
        <w:t>Mr. Grievink</w:t>
      </w:r>
      <w:r w:rsidRPr="00F84FE5">
        <w:rPr>
          <w:rFonts w:cstheme="minorHAnsi"/>
          <w:spacing w:val="-9"/>
          <w:w w:val="105"/>
        </w:rPr>
        <w:t xml:space="preserve"> </w:t>
      </w:r>
      <w:r w:rsidRPr="00F84FE5">
        <w:rPr>
          <w:rFonts w:cstheme="minorHAnsi"/>
          <w:w w:val="105"/>
        </w:rPr>
        <w:t>will</w:t>
      </w:r>
      <w:r w:rsidRPr="00F84FE5">
        <w:rPr>
          <w:rFonts w:cstheme="minorHAnsi"/>
          <w:spacing w:val="-10"/>
          <w:w w:val="105"/>
        </w:rPr>
        <w:t xml:space="preserve"> </w:t>
      </w:r>
      <w:r w:rsidRPr="00F84FE5">
        <w:rPr>
          <w:rFonts w:cstheme="minorHAnsi"/>
          <w:w w:val="105"/>
        </w:rPr>
        <w:t>make</w:t>
      </w:r>
      <w:r w:rsidRPr="00F84FE5">
        <w:rPr>
          <w:rFonts w:cstheme="minorHAnsi"/>
          <w:spacing w:val="-10"/>
          <w:w w:val="105"/>
        </w:rPr>
        <w:t xml:space="preserve"> </w:t>
      </w:r>
      <w:r w:rsidRPr="00F84FE5">
        <w:rPr>
          <w:rFonts w:cstheme="minorHAnsi"/>
          <w:w w:val="105"/>
        </w:rPr>
        <w:t>a</w:t>
      </w:r>
      <w:r w:rsidRPr="00F84FE5">
        <w:rPr>
          <w:rFonts w:cstheme="minorHAnsi"/>
          <w:spacing w:val="-9"/>
          <w:w w:val="105"/>
        </w:rPr>
        <w:t xml:space="preserve"> </w:t>
      </w:r>
      <w:r w:rsidRPr="00F84FE5">
        <w:rPr>
          <w:rFonts w:cstheme="minorHAnsi"/>
          <w:w w:val="105"/>
        </w:rPr>
        <w:t>summary</w:t>
      </w:r>
      <w:r w:rsidRPr="00F84FE5">
        <w:rPr>
          <w:rFonts w:cstheme="minorHAnsi"/>
          <w:spacing w:val="-12"/>
          <w:w w:val="105"/>
        </w:rPr>
        <w:t xml:space="preserve"> </w:t>
      </w:r>
      <w:r w:rsidRPr="00F84FE5">
        <w:rPr>
          <w:rFonts w:cstheme="minorHAnsi"/>
          <w:w w:val="105"/>
        </w:rPr>
        <w:t>of</w:t>
      </w:r>
      <w:r w:rsidRPr="00F84FE5">
        <w:rPr>
          <w:rFonts w:cstheme="minorHAnsi"/>
          <w:spacing w:val="-11"/>
          <w:w w:val="105"/>
        </w:rPr>
        <w:t xml:space="preserve"> </w:t>
      </w:r>
      <w:r w:rsidRPr="00F84FE5">
        <w:rPr>
          <w:rFonts w:cstheme="minorHAnsi"/>
          <w:w w:val="105"/>
        </w:rPr>
        <w:t>the</w:t>
      </w:r>
      <w:r w:rsidRPr="00F84FE5">
        <w:rPr>
          <w:rFonts w:cstheme="minorHAnsi"/>
          <w:spacing w:val="-9"/>
          <w:w w:val="105"/>
        </w:rPr>
        <w:t xml:space="preserve"> </w:t>
      </w:r>
      <w:r w:rsidRPr="00F84FE5">
        <w:rPr>
          <w:rFonts w:cstheme="minorHAnsi"/>
          <w:w w:val="105"/>
        </w:rPr>
        <w:t>promising</w:t>
      </w:r>
      <w:r w:rsidRPr="00F84FE5">
        <w:rPr>
          <w:rFonts w:cstheme="minorHAnsi"/>
          <w:spacing w:val="-8"/>
          <w:w w:val="105"/>
        </w:rPr>
        <w:t xml:space="preserve"> </w:t>
      </w:r>
      <w:r w:rsidRPr="00F84FE5">
        <w:rPr>
          <w:rFonts w:cstheme="minorHAnsi"/>
          <w:w w:val="105"/>
        </w:rPr>
        <w:t>program</w:t>
      </w:r>
      <w:r w:rsidRPr="00F84FE5">
        <w:rPr>
          <w:rFonts w:cstheme="minorHAnsi"/>
          <w:spacing w:val="-8"/>
          <w:w w:val="105"/>
        </w:rPr>
        <w:t xml:space="preserve"> </w:t>
      </w:r>
      <w:r w:rsidRPr="00F84FE5">
        <w:rPr>
          <w:rFonts w:cstheme="minorHAnsi"/>
          <w:w w:val="105"/>
        </w:rPr>
        <w:t>elements</w:t>
      </w:r>
      <w:r w:rsidRPr="00F84FE5">
        <w:rPr>
          <w:rFonts w:cstheme="minorHAnsi"/>
          <w:spacing w:val="-9"/>
          <w:w w:val="105"/>
        </w:rPr>
        <w:t xml:space="preserve"> </w:t>
      </w:r>
      <w:r w:rsidRPr="00F84FE5">
        <w:rPr>
          <w:rFonts w:cstheme="minorHAnsi"/>
          <w:w w:val="105"/>
        </w:rPr>
        <w:t>for</w:t>
      </w:r>
      <w:r w:rsidRPr="00F84FE5">
        <w:rPr>
          <w:rFonts w:cstheme="minorHAnsi"/>
          <w:spacing w:val="-11"/>
          <w:w w:val="105"/>
        </w:rPr>
        <w:t xml:space="preserve"> </w:t>
      </w:r>
      <w:r w:rsidRPr="00F84FE5">
        <w:rPr>
          <w:rFonts w:cstheme="minorHAnsi"/>
          <w:w w:val="105"/>
        </w:rPr>
        <w:t>the</w:t>
      </w:r>
      <w:r w:rsidRPr="00F84FE5">
        <w:rPr>
          <w:rFonts w:cstheme="minorHAnsi"/>
          <w:spacing w:val="-9"/>
          <w:w w:val="105"/>
        </w:rPr>
        <w:t xml:space="preserve"> </w:t>
      </w:r>
      <w:r w:rsidRPr="00F84FE5">
        <w:rPr>
          <w:rFonts w:cstheme="minorHAnsi"/>
          <w:w w:val="105"/>
        </w:rPr>
        <w:t xml:space="preserve">IUC. In the meantime, Ms. Bruer will take part in the </w:t>
      </w:r>
      <w:r w:rsidR="00F84FE5" w:rsidRPr="00F84FE5">
        <w:rPr>
          <w:rFonts w:cstheme="minorHAnsi"/>
          <w:w w:val="105"/>
        </w:rPr>
        <w:t xml:space="preserve">Academic Cooperation Association webinar on new Erasmus + call “What’s new in Brussels” and MSCA (Marie Curie Action) contact seminar for West Balkan organized by European Commission. </w:t>
      </w:r>
    </w:p>
    <w:p w14:paraId="3EC3E362" w14:textId="2DE10F84" w:rsidR="00F84FE5" w:rsidRDefault="00F84FE5" w:rsidP="00EC27B6">
      <w:pPr>
        <w:pStyle w:val="ListParagraph"/>
        <w:numPr>
          <w:ilvl w:val="0"/>
          <w:numId w:val="1"/>
        </w:numPr>
        <w:ind w:left="284"/>
        <w:rPr>
          <w:lang w:val="en-GB"/>
        </w:rPr>
      </w:pPr>
      <w:r w:rsidRPr="00EC27B6">
        <w:rPr>
          <w:rStyle w:val="Bez"/>
        </w:rPr>
        <w:t>The IUC Secretariat applied for donation from various Croatian corporations in order to secure some funding but without any positive response. The IUC Secretariat applied</w:t>
      </w:r>
      <w:r w:rsidRPr="00EC27B6">
        <w:rPr>
          <w:lang w:val="en-GB"/>
        </w:rPr>
        <w:t xml:space="preserve"> to the call for NGO’s as announced by the Ministry of Science, in the amount of 25.000 KN but the grant was denied. The IUC office also applied to the call of National Foundation for Civil Society Development for support in the amount of 100.000 kn per year (from 2021). T</w:t>
      </w:r>
      <w:r w:rsidR="00EC27B6" w:rsidRPr="00EC27B6">
        <w:rPr>
          <w:lang w:val="en-GB"/>
        </w:rPr>
        <w:t xml:space="preserve">his support was also denied with main argument that the </w:t>
      </w:r>
      <w:r w:rsidR="009D49A8">
        <w:rPr>
          <w:lang w:val="en-GB"/>
        </w:rPr>
        <w:t>IUC Association</w:t>
      </w:r>
      <w:r w:rsidR="00EC27B6" w:rsidRPr="00EC27B6">
        <w:rPr>
          <w:lang w:val="en-GB"/>
        </w:rPr>
        <w:t xml:space="preserve"> has low level of inclusion in the democratisation of society and development of civil society since its main activity is organisation of courses for which fees exist.</w:t>
      </w:r>
    </w:p>
    <w:p w14:paraId="75C4B320" w14:textId="77777777" w:rsidR="00AE4221" w:rsidRDefault="00AE4221" w:rsidP="00AE4221">
      <w:pPr>
        <w:pStyle w:val="ListParagraph"/>
        <w:ind w:left="284"/>
        <w:rPr>
          <w:lang w:val="en-GB"/>
        </w:rPr>
      </w:pPr>
    </w:p>
    <w:p w14:paraId="279BD429" w14:textId="0DDD6D4A" w:rsidR="007A0D90" w:rsidRDefault="00EC27B6" w:rsidP="007A0D90">
      <w:pPr>
        <w:pStyle w:val="ListParagraph"/>
        <w:numPr>
          <w:ilvl w:val="0"/>
          <w:numId w:val="1"/>
        </w:numPr>
        <w:ind w:left="284"/>
      </w:pPr>
      <w:r w:rsidRPr="00AE4221">
        <w:rPr>
          <w:rStyle w:val="Bez"/>
        </w:rPr>
        <w:t>On behalf of the IUC governing bodies, Prof. Pisk, Prof. Bakker and Ms. Bruer put together a proposal for small IUC scholarship (60.000 Euros yearly for 5 years) to support internationali</w:t>
      </w:r>
      <w:r w:rsidR="00AF257A">
        <w:rPr>
          <w:rStyle w:val="Bez"/>
        </w:rPr>
        <w:t>z</w:t>
      </w:r>
      <w:r w:rsidRPr="00AE4221">
        <w:rPr>
          <w:rStyle w:val="Bez"/>
        </w:rPr>
        <w:t xml:space="preserve">ation of </w:t>
      </w:r>
      <w:r w:rsidR="00AF257A">
        <w:rPr>
          <w:rStyle w:val="Bez"/>
        </w:rPr>
        <w:t xml:space="preserve">EU Accession countries’ </w:t>
      </w:r>
      <w:r w:rsidRPr="00AE4221">
        <w:rPr>
          <w:rStyle w:val="Bez"/>
        </w:rPr>
        <w:t>academic community.</w:t>
      </w:r>
      <w:r w:rsidR="00AF257A">
        <w:rPr>
          <w:rStyle w:val="Bez"/>
        </w:rPr>
        <w:t xml:space="preserve"> Prof. Šimonović </w:t>
      </w:r>
      <w:r w:rsidR="00AE4221">
        <w:rPr>
          <w:rStyle w:val="Bez"/>
        </w:rPr>
        <w:t xml:space="preserve">advocated for this initiative and </w:t>
      </w:r>
      <w:r w:rsidR="00AF257A">
        <w:rPr>
          <w:rStyle w:val="Bez"/>
        </w:rPr>
        <w:t xml:space="preserve">forwarded </w:t>
      </w:r>
      <w:r w:rsidR="00AE4221">
        <w:rPr>
          <w:rStyle w:val="Bez"/>
        </w:rPr>
        <w:t>it</w:t>
      </w:r>
      <w:r w:rsidR="00AF257A">
        <w:rPr>
          <w:rStyle w:val="Bez"/>
        </w:rPr>
        <w:t xml:space="preserve"> to the Permanent representation of Croatia to the EU, office of the Prime-Minister and Ministry of Science and Education</w:t>
      </w:r>
      <w:r w:rsidR="00AE4221">
        <w:rPr>
          <w:rStyle w:val="Bez"/>
        </w:rPr>
        <w:t xml:space="preserve">. </w:t>
      </w:r>
      <w:r w:rsidR="00AE4221">
        <w:t xml:space="preserve">The intention is to identify possible EU funds that can be used to support the academic community of SE Europe – EU accession countries. </w:t>
      </w:r>
      <w:r w:rsidR="009D49A8">
        <w:t>It is expected to learn more about possible developments of this initiative at the planned meeting at the Ministry of Science.</w:t>
      </w:r>
    </w:p>
    <w:p w14:paraId="6B013003" w14:textId="77777777" w:rsidR="007A0D90" w:rsidRPr="007A0D90" w:rsidRDefault="007A0D90" w:rsidP="007A0D90">
      <w:pPr>
        <w:pStyle w:val="ListParagraph"/>
        <w:ind w:left="284"/>
      </w:pPr>
    </w:p>
    <w:p w14:paraId="41238FBE" w14:textId="4506A471" w:rsidR="007A0D90" w:rsidRDefault="007A0D90" w:rsidP="00AE4221">
      <w:pPr>
        <w:pStyle w:val="ListParagraph"/>
        <w:numPr>
          <w:ilvl w:val="0"/>
          <w:numId w:val="1"/>
        </w:numPr>
        <w:ind w:left="284"/>
      </w:pPr>
      <w:r>
        <w:t>In December Prof. Pisk and Prof. Kraljević met with representatives of the Ministry of Science and Education: State Secretary Prof. Ivana Franić, State Secretary, Tomislav Paljak, MA and Ivica Šušak, dipl. Iur and discussed the need for the continuous and stable support of the IUC. The meeting was positive and Ministry representatives asserted the value of the IUC, with the promise to schedule a new meeting with the beginning of the year in order to secure a permanent solution. Some informal channels also reported about the determination of the Minister prof. Fuchs and Prime Minister Mr. Plenković to find a permanent solution for the IUC.</w:t>
      </w:r>
    </w:p>
    <w:p w14:paraId="10CE276E" w14:textId="77777777" w:rsidR="00266929" w:rsidRDefault="00266929" w:rsidP="00266929">
      <w:pPr>
        <w:pStyle w:val="ListParagraph"/>
      </w:pPr>
    </w:p>
    <w:p w14:paraId="255A35C9" w14:textId="0C5EE7AE" w:rsidR="00266929" w:rsidRDefault="00266929" w:rsidP="00AE4221">
      <w:pPr>
        <w:pStyle w:val="ListParagraph"/>
        <w:numPr>
          <w:ilvl w:val="0"/>
          <w:numId w:val="1"/>
        </w:numPr>
        <w:ind w:left="284"/>
      </w:pPr>
      <w:r>
        <w:t>Prof. Bakker is planning to advertise more the IUC regional scholarship fund – SE European scholarship fund – through social media campaign. This campaign will soon be active-as soon as the IUC web pages become upgraded to easy online payments.</w:t>
      </w:r>
    </w:p>
    <w:p w14:paraId="5B9DE85D" w14:textId="77777777" w:rsidR="00266929" w:rsidRDefault="00266929" w:rsidP="00266929">
      <w:pPr>
        <w:pStyle w:val="ListParagraph"/>
      </w:pPr>
    </w:p>
    <w:p w14:paraId="2FEABE93" w14:textId="1410D499" w:rsidR="00266929" w:rsidRDefault="00266929" w:rsidP="00AE4221">
      <w:pPr>
        <w:pStyle w:val="ListParagraph"/>
        <w:numPr>
          <w:ilvl w:val="0"/>
          <w:numId w:val="1"/>
        </w:numPr>
        <w:ind w:left="284"/>
      </w:pPr>
      <w:r>
        <w:t>In order to secure online payments through IUC web pages IUC needed to adopt General Terms and Conditions and Personal Data Protection documents. These documents are both attached to this document and should be approved by the Association Assembly along with this report.</w:t>
      </w:r>
    </w:p>
    <w:p w14:paraId="1B675933" w14:textId="77777777" w:rsidR="00672A11" w:rsidRDefault="00672A11" w:rsidP="00672A11">
      <w:pPr>
        <w:pStyle w:val="ListParagraph"/>
      </w:pPr>
    </w:p>
    <w:p w14:paraId="64B8AA3A" w14:textId="25F3A1F6" w:rsidR="00672A11" w:rsidRDefault="00672A11" w:rsidP="00AE4221">
      <w:pPr>
        <w:pStyle w:val="ListParagraph"/>
        <w:numPr>
          <w:ilvl w:val="0"/>
          <w:numId w:val="1"/>
        </w:numPr>
        <w:ind w:left="284"/>
      </w:pPr>
      <w:r>
        <w:t xml:space="preserve">Executive Committee </w:t>
      </w:r>
      <w:r w:rsidR="008A25E7">
        <w:t>decided</w:t>
      </w:r>
      <w:r>
        <w:t xml:space="preserve"> that online participation in IUC programmes (during COVID period and beyond) should be charged 25 Euro</w:t>
      </w:r>
      <w:r w:rsidR="008A25E7">
        <w:t xml:space="preserve"> per participant. (Standard course fee is 50 Euro per participant).</w:t>
      </w:r>
    </w:p>
    <w:p w14:paraId="53889556" w14:textId="77777777" w:rsidR="00AE4221" w:rsidRDefault="00AE4221" w:rsidP="00AE4221">
      <w:pPr>
        <w:pStyle w:val="ListParagraph"/>
      </w:pPr>
    </w:p>
    <w:p w14:paraId="6AB61E7D" w14:textId="2F9CAC84" w:rsidR="00BB3679" w:rsidRPr="00BB3679" w:rsidRDefault="00AE4221" w:rsidP="00266929">
      <w:pPr>
        <w:pStyle w:val="ListParagraph"/>
        <w:numPr>
          <w:ilvl w:val="0"/>
          <w:numId w:val="1"/>
        </w:numPr>
        <w:ind w:left="284"/>
        <w:rPr>
          <w:rStyle w:val="Bez"/>
        </w:rPr>
      </w:pPr>
      <w:r w:rsidRPr="00AE4221">
        <w:rPr>
          <w:lang w:val="en-GB"/>
        </w:rPr>
        <w:t xml:space="preserve">Prof. Pisk and Ms. Bruer were received by the Croatian President Mr. Milanović in November 2020. The topics of talks were </w:t>
      </w:r>
      <w:r w:rsidRPr="00AE4221">
        <w:rPr>
          <w:rFonts w:cs="Arial"/>
          <w:color w:val="010727"/>
        </w:rPr>
        <w:t>value of this institution for the Croatian academic and scientific community, its international dimension and difficulties the IUC is facing due to the fact that legal status for the work of the IUC is secured by the IUC Association. President Milanović promised to support the IUC in the scope of his Presidential authorities to find a sustainable solution within the legal framework of the Republic of Croatia.</w:t>
      </w:r>
    </w:p>
    <w:p w14:paraId="7D9AD4A4" w14:textId="45AB7AE8" w:rsidR="00BB3679" w:rsidRDefault="00BB3679" w:rsidP="00BB3679">
      <w:pPr>
        <w:pStyle w:val="NoSpacing"/>
        <w:numPr>
          <w:ilvl w:val="0"/>
          <w:numId w:val="1"/>
        </w:numPr>
        <w:ind w:left="284"/>
        <w:rPr>
          <w:rStyle w:val="Bez"/>
        </w:rPr>
      </w:pPr>
      <w:r w:rsidRPr="00BB3679">
        <w:rPr>
          <w:rStyle w:val="Bez"/>
        </w:rPr>
        <w:t>After the end of maternity leave,</w:t>
      </w:r>
      <w:r w:rsidRPr="00BB3679">
        <w:t xml:space="preserve"> </w:t>
      </w:r>
      <w:r w:rsidRPr="00BB3679">
        <w:rPr>
          <w:rStyle w:val="Bez"/>
        </w:rPr>
        <w:t xml:space="preserve">Ms. Bruer returned to her full duties of Executive Secretary </w:t>
      </w:r>
      <w:r w:rsidR="00266929">
        <w:rPr>
          <w:rStyle w:val="Bez"/>
        </w:rPr>
        <w:t xml:space="preserve">in early spring, </w:t>
      </w:r>
      <w:r w:rsidRPr="00BB3679">
        <w:rPr>
          <w:rStyle w:val="Bez"/>
        </w:rPr>
        <w:t xml:space="preserve">while her replacement Mr. Kvesić returned on his previous position in the office.  Ms. Manuela Valjalo, who was covering the position of Mr. Kvesić </w:t>
      </w:r>
      <w:r>
        <w:rPr>
          <w:rStyle w:val="Bez"/>
        </w:rPr>
        <w:t>was</w:t>
      </w:r>
      <w:r w:rsidRPr="00BB3679">
        <w:rPr>
          <w:rStyle w:val="Bez"/>
        </w:rPr>
        <w:t xml:space="preserve"> assigned to the CAAS office by University of Zagreb. </w:t>
      </w:r>
      <w:r>
        <w:rPr>
          <w:rStyle w:val="Bez"/>
        </w:rPr>
        <w:t>The IUC office now has three full time employees (one paid by the IUC Association for 4 hours, while other 4 are covered by University of Zagreb) and part time accountant.</w:t>
      </w:r>
    </w:p>
    <w:p w14:paraId="1DCDDCC3" w14:textId="77777777" w:rsidR="00BB3679" w:rsidRPr="00BB3679" w:rsidRDefault="00BB3679" w:rsidP="00BB3679">
      <w:pPr>
        <w:pStyle w:val="NoSpacing"/>
        <w:ind w:left="284"/>
        <w:rPr>
          <w:rStyle w:val="Bez"/>
        </w:rPr>
      </w:pPr>
    </w:p>
    <w:p w14:paraId="760187C7" w14:textId="5E96ED1F" w:rsidR="00A26228" w:rsidRDefault="002111B8" w:rsidP="006C4E9E">
      <w:pPr>
        <w:pStyle w:val="ListParagraph"/>
        <w:numPr>
          <w:ilvl w:val="0"/>
          <w:numId w:val="1"/>
        </w:numPr>
        <w:ind w:left="284"/>
        <w:rPr>
          <w:rStyle w:val="Bez"/>
        </w:rPr>
      </w:pPr>
      <w:r w:rsidRPr="00403FE4">
        <w:rPr>
          <w:rStyle w:val="Bez"/>
        </w:rPr>
        <w:t>Resignation</w:t>
      </w:r>
      <w:r w:rsidR="00BB3679" w:rsidRPr="00403FE4">
        <w:rPr>
          <w:rStyle w:val="Bez"/>
        </w:rPr>
        <w:t xml:space="preserve"> of membership</w:t>
      </w:r>
      <w:r w:rsidRPr="00403FE4">
        <w:rPr>
          <w:rStyle w:val="Bez"/>
        </w:rPr>
        <w:t xml:space="preserve"> was received from University of Minnesota (no significant no. of participants)</w:t>
      </w:r>
      <w:r w:rsidR="00A26228" w:rsidRPr="00403FE4">
        <w:rPr>
          <w:rStyle w:val="Bez"/>
        </w:rPr>
        <w:t xml:space="preserve"> </w:t>
      </w:r>
      <w:r w:rsidR="00BB3679" w:rsidRPr="00403FE4">
        <w:rPr>
          <w:rStyle w:val="Bez"/>
        </w:rPr>
        <w:t>and</w:t>
      </w:r>
      <w:r w:rsidR="00A26228" w:rsidRPr="00403FE4">
        <w:rPr>
          <w:rStyle w:val="Bez"/>
        </w:rPr>
        <w:t xml:space="preserve"> Technical Univer</w:t>
      </w:r>
      <w:r w:rsidR="00BB3679" w:rsidRPr="00403FE4">
        <w:rPr>
          <w:rStyle w:val="Bez"/>
        </w:rPr>
        <w:t>s</w:t>
      </w:r>
      <w:r w:rsidR="00A26228" w:rsidRPr="00403FE4">
        <w:rPr>
          <w:rStyle w:val="Bez"/>
        </w:rPr>
        <w:t xml:space="preserve">ity of Munich. </w:t>
      </w:r>
    </w:p>
    <w:p w14:paraId="10BE6C97" w14:textId="77777777" w:rsidR="00266929" w:rsidRDefault="00266929" w:rsidP="00266929">
      <w:pPr>
        <w:pStyle w:val="ListParagraph"/>
        <w:rPr>
          <w:rStyle w:val="Bez"/>
        </w:rPr>
      </w:pPr>
    </w:p>
    <w:p w14:paraId="5F13AC1B" w14:textId="5A585A4C" w:rsidR="00266929" w:rsidRPr="00EF1C9E" w:rsidRDefault="00266929" w:rsidP="006C4E9E">
      <w:pPr>
        <w:pStyle w:val="ListParagraph"/>
        <w:numPr>
          <w:ilvl w:val="0"/>
          <w:numId w:val="1"/>
        </w:numPr>
        <w:ind w:left="284"/>
        <w:rPr>
          <w:rStyle w:val="Bez"/>
        </w:rPr>
      </w:pPr>
      <w:r>
        <w:rPr>
          <w:rStyle w:val="Bez"/>
        </w:rPr>
        <w:t xml:space="preserve">Although spring programmes were announced as in standard years, the prolongation of Covid pandemic is forcing course directors to postpone their announced events. Some will decide to have online and some blended programmes. Attached </w:t>
      </w:r>
      <w:r w:rsidR="00C031A8">
        <w:rPr>
          <w:rStyle w:val="Bez"/>
        </w:rPr>
        <w:t xml:space="preserve">is the preliminary academic programme </w:t>
      </w:r>
      <w:r w:rsidR="00C031A8" w:rsidRPr="00EF1C9E">
        <w:rPr>
          <w:rStyle w:val="Bez"/>
        </w:rPr>
        <w:t>according to information on 15 February. More alterations are expected.</w:t>
      </w:r>
    </w:p>
    <w:p w14:paraId="5CCAB4F0" w14:textId="77777777" w:rsidR="00C031A8" w:rsidRPr="00EF1C9E" w:rsidRDefault="00C031A8" w:rsidP="00C031A8">
      <w:pPr>
        <w:pStyle w:val="ListParagraph"/>
        <w:rPr>
          <w:rStyle w:val="Bez"/>
        </w:rPr>
      </w:pPr>
    </w:p>
    <w:p w14:paraId="0A8CF61F" w14:textId="2FF62214" w:rsidR="00C031A8" w:rsidRPr="00EF1C9E" w:rsidRDefault="00C031A8" w:rsidP="006C4E9E">
      <w:pPr>
        <w:pStyle w:val="ListParagraph"/>
        <w:numPr>
          <w:ilvl w:val="0"/>
          <w:numId w:val="1"/>
        </w:numPr>
        <w:ind w:left="284"/>
        <w:rPr>
          <w:rStyle w:val="Bez"/>
        </w:rPr>
      </w:pPr>
      <w:r w:rsidRPr="00EF1C9E">
        <w:rPr>
          <w:rStyle w:val="Bez"/>
        </w:rPr>
        <w:t xml:space="preserve">Since changes of announcements come on daily bases Prof. Seitz (as suggested by the IUC Office) did not print the IUC Academic programme brochure at this time. As soon as the developments would be more certain the brochure would be put together. </w:t>
      </w:r>
    </w:p>
    <w:p w14:paraId="3BDC22D9" w14:textId="77777777" w:rsidR="00403FE4" w:rsidRPr="00EF1C9E" w:rsidRDefault="00403FE4" w:rsidP="00403FE4">
      <w:pPr>
        <w:pStyle w:val="ListParagraph"/>
        <w:rPr>
          <w:rStyle w:val="Bez"/>
        </w:rPr>
      </w:pPr>
    </w:p>
    <w:p w14:paraId="0F5C5618" w14:textId="01E2A605" w:rsidR="002111B8" w:rsidRPr="00EF1C9E" w:rsidRDefault="00266929" w:rsidP="006C4E9E">
      <w:pPr>
        <w:pStyle w:val="ListParagraph"/>
        <w:numPr>
          <w:ilvl w:val="0"/>
          <w:numId w:val="1"/>
        </w:numPr>
        <w:ind w:left="284"/>
        <w:rPr>
          <w:rStyle w:val="Bez"/>
        </w:rPr>
      </w:pPr>
      <w:r w:rsidRPr="00EF1C9E">
        <w:rPr>
          <w:rStyle w:val="Bez"/>
        </w:rPr>
        <w:t xml:space="preserve">In 2019 the </w:t>
      </w:r>
      <w:r w:rsidR="002111B8" w:rsidRPr="00EF1C9E">
        <w:rPr>
          <w:rStyle w:val="Bez"/>
        </w:rPr>
        <w:t>IUC started collaboration with St. Hilda's College, University of Oxford to make a plan for conference series in memory of Professor Kathy Wilkes (Chair of the IUC Executive Committee in the period 1988-96). First conference w</w:t>
      </w:r>
      <w:r w:rsidRPr="00EF1C9E">
        <w:rPr>
          <w:rStyle w:val="Bez"/>
        </w:rPr>
        <w:t>ere</w:t>
      </w:r>
      <w:r w:rsidR="002111B8" w:rsidRPr="00EF1C9E">
        <w:rPr>
          <w:rStyle w:val="Bez"/>
        </w:rPr>
        <w:t xml:space="preserve"> scheduled for September 2020 but COVID 19 pandemic postpone</w:t>
      </w:r>
      <w:r w:rsidR="00EF1C9E">
        <w:rPr>
          <w:rStyle w:val="Bez"/>
        </w:rPr>
        <w:t>d</w:t>
      </w:r>
      <w:r w:rsidR="002111B8" w:rsidRPr="00EF1C9E">
        <w:rPr>
          <w:rStyle w:val="Bez"/>
        </w:rPr>
        <w:t xml:space="preserve"> the conference for the fall of 2021. Second and third conference will be held in Milan and Oxford. </w:t>
      </w:r>
    </w:p>
    <w:p w14:paraId="2FC64DAB" w14:textId="77777777" w:rsidR="001C3FBB" w:rsidRPr="00EF1C9E" w:rsidRDefault="001C3FBB" w:rsidP="001C3FBB">
      <w:pPr>
        <w:pStyle w:val="ListParagraph"/>
        <w:rPr>
          <w:rStyle w:val="Bez"/>
        </w:rPr>
      </w:pPr>
    </w:p>
    <w:p w14:paraId="7AB29335" w14:textId="267FE494" w:rsidR="001C3FBB" w:rsidRPr="00EF1C9E" w:rsidRDefault="001C3FBB" w:rsidP="006C4E9E">
      <w:pPr>
        <w:pStyle w:val="ListParagraph"/>
        <w:numPr>
          <w:ilvl w:val="0"/>
          <w:numId w:val="1"/>
        </w:numPr>
        <w:ind w:left="284"/>
        <w:rPr>
          <w:rStyle w:val="Bez"/>
        </w:rPr>
      </w:pPr>
      <w:r w:rsidRPr="00EF1C9E">
        <w:rPr>
          <w:rStyle w:val="Bez"/>
        </w:rPr>
        <w:t>In July former IUC Director General, member of the IUC Association Assembly, organizer of IUC programme, and an IUC friend, Prof. Ivo Banac has passed away.</w:t>
      </w:r>
    </w:p>
    <w:p w14:paraId="645F8699" w14:textId="77777777" w:rsidR="002111B8" w:rsidRDefault="002111B8" w:rsidP="006C4E9E">
      <w:pPr>
        <w:pStyle w:val="NoSpacing"/>
        <w:rPr>
          <w:rStyle w:val="Bez"/>
        </w:rPr>
      </w:pPr>
    </w:p>
    <w:p w14:paraId="22181B2E" w14:textId="77777777" w:rsidR="007B64F8" w:rsidRDefault="007B64F8" w:rsidP="006C4E9E">
      <w:pPr>
        <w:pStyle w:val="ListParagraph"/>
        <w:ind w:left="284"/>
        <w:rPr>
          <w:lang w:val="en-GB"/>
        </w:rPr>
      </w:pPr>
    </w:p>
    <w:p w14:paraId="248A1614" w14:textId="0610851C" w:rsidR="004D3A3E" w:rsidRPr="00C031A8" w:rsidRDefault="00C031A8" w:rsidP="00C031A8">
      <w:pPr>
        <w:rPr>
          <w:lang w:val="en-GB"/>
        </w:rPr>
      </w:pPr>
      <w:r>
        <w:rPr>
          <w:lang w:val="en-GB"/>
        </w:rPr>
        <w:t>NB February 2021</w:t>
      </w:r>
    </w:p>
    <w:p w14:paraId="565E9C3B" w14:textId="069C613F" w:rsidR="004D3A3E" w:rsidRDefault="004D3A3E" w:rsidP="006C4E9E">
      <w:pPr>
        <w:pStyle w:val="ListParagraph"/>
        <w:ind w:left="284"/>
        <w:rPr>
          <w:lang w:val="en-GB"/>
        </w:rPr>
      </w:pPr>
    </w:p>
    <w:p w14:paraId="779858B6" w14:textId="77777777" w:rsidR="004D3A3E" w:rsidRDefault="004D3A3E" w:rsidP="006C4E9E">
      <w:pPr>
        <w:pStyle w:val="ListParagraph"/>
        <w:ind w:left="284"/>
        <w:rPr>
          <w:lang w:val="en-GB"/>
        </w:rPr>
      </w:pPr>
    </w:p>
    <w:p w14:paraId="2F0B2F28" w14:textId="77777777" w:rsidR="00AF4DE1" w:rsidRPr="00F4345C" w:rsidRDefault="00AF4DE1" w:rsidP="00AF4DE1">
      <w:pPr>
        <w:pStyle w:val="ListParagraph"/>
        <w:ind w:left="0"/>
        <w:rPr>
          <w:lang w:val="en-GB"/>
        </w:rPr>
      </w:pPr>
    </w:p>
    <w:sectPr w:rsidR="00AF4DE1" w:rsidRPr="00F4345C"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1A77"/>
    <w:multiLevelType w:val="hybridMultilevel"/>
    <w:tmpl w:val="EB8C03DC"/>
    <w:lvl w:ilvl="0" w:tplc="48043364">
      <w:start w:val="1"/>
      <w:numFmt w:val="decimal"/>
      <w:lvlText w:val="%1."/>
      <w:lvlJc w:val="left"/>
      <w:pPr>
        <w:ind w:left="828" w:hanging="339"/>
      </w:pPr>
      <w:rPr>
        <w:rFonts w:ascii="Carlito" w:eastAsia="Carlito" w:hAnsi="Carlito" w:cs="Carlito" w:hint="default"/>
        <w:w w:val="103"/>
        <w:sz w:val="20"/>
        <w:szCs w:val="20"/>
        <w:lang w:val="en-US" w:eastAsia="en-US" w:bidi="ar-SA"/>
      </w:rPr>
    </w:lvl>
    <w:lvl w:ilvl="1" w:tplc="EFF05C9A">
      <w:numFmt w:val="bullet"/>
      <w:lvlText w:val="•"/>
      <w:lvlJc w:val="left"/>
      <w:pPr>
        <w:ind w:left="1726" w:hanging="339"/>
      </w:pPr>
      <w:rPr>
        <w:rFonts w:hint="default"/>
        <w:lang w:val="en-US" w:eastAsia="en-US" w:bidi="ar-SA"/>
      </w:rPr>
    </w:lvl>
    <w:lvl w:ilvl="2" w:tplc="0DA6E506">
      <w:numFmt w:val="bullet"/>
      <w:lvlText w:val="•"/>
      <w:lvlJc w:val="left"/>
      <w:pPr>
        <w:ind w:left="2632" w:hanging="339"/>
      </w:pPr>
      <w:rPr>
        <w:rFonts w:hint="default"/>
        <w:lang w:val="en-US" w:eastAsia="en-US" w:bidi="ar-SA"/>
      </w:rPr>
    </w:lvl>
    <w:lvl w:ilvl="3" w:tplc="9D24F980">
      <w:numFmt w:val="bullet"/>
      <w:lvlText w:val="•"/>
      <w:lvlJc w:val="left"/>
      <w:pPr>
        <w:ind w:left="3538" w:hanging="339"/>
      </w:pPr>
      <w:rPr>
        <w:rFonts w:hint="default"/>
        <w:lang w:val="en-US" w:eastAsia="en-US" w:bidi="ar-SA"/>
      </w:rPr>
    </w:lvl>
    <w:lvl w:ilvl="4" w:tplc="6532956C">
      <w:numFmt w:val="bullet"/>
      <w:lvlText w:val="•"/>
      <w:lvlJc w:val="left"/>
      <w:pPr>
        <w:ind w:left="4444" w:hanging="339"/>
      </w:pPr>
      <w:rPr>
        <w:rFonts w:hint="default"/>
        <w:lang w:val="en-US" w:eastAsia="en-US" w:bidi="ar-SA"/>
      </w:rPr>
    </w:lvl>
    <w:lvl w:ilvl="5" w:tplc="C540DDE0">
      <w:numFmt w:val="bullet"/>
      <w:lvlText w:val="•"/>
      <w:lvlJc w:val="left"/>
      <w:pPr>
        <w:ind w:left="5350" w:hanging="339"/>
      </w:pPr>
      <w:rPr>
        <w:rFonts w:hint="default"/>
        <w:lang w:val="en-US" w:eastAsia="en-US" w:bidi="ar-SA"/>
      </w:rPr>
    </w:lvl>
    <w:lvl w:ilvl="6" w:tplc="7E1692EE">
      <w:numFmt w:val="bullet"/>
      <w:lvlText w:val="•"/>
      <w:lvlJc w:val="left"/>
      <w:pPr>
        <w:ind w:left="6256" w:hanging="339"/>
      </w:pPr>
      <w:rPr>
        <w:rFonts w:hint="default"/>
        <w:lang w:val="en-US" w:eastAsia="en-US" w:bidi="ar-SA"/>
      </w:rPr>
    </w:lvl>
    <w:lvl w:ilvl="7" w:tplc="3E300DF4">
      <w:numFmt w:val="bullet"/>
      <w:lvlText w:val="•"/>
      <w:lvlJc w:val="left"/>
      <w:pPr>
        <w:ind w:left="7162" w:hanging="339"/>
      </w:pPr>
      <w:rPr>
        <w:rFonts w:hint="default"/>
        <w:lang w:val="en-US" w:eastAsia="en-US" w:bidi="ar-SA"/>
      </w:rPr>
    </w:lvl>
    <w:lvl w:ilvl="8" w:tplc="A2A0776E">
      <w:numFmt w:val="bullet"/>
      <w:lvlText w:val="•"/>
      <w:lvlJc w:val="left"/>
      <w:pPr>
        <w:ind w:left="8068" w:hanging="339"/>
      </w:pPr>
      <w:rPr>
        <w:rFonts w:hint="default"/>
        <w:lang w:val="en-US" w:eastAsia="en-US" w:bidi="ar-SA"/>
      </w:rPr>
    </w:lvl>
  </w:abstractNum>
  <w:abstractNum w:abstractNumId="1" w15:restartNumberingAfterBreak="0">
    <w:nsid w:val="0B696657"/>
    <w:multiLevelType w:val="hybridMultilevel"/>
    <w:tmpl w:val="AD38D998"/>
    <w:lvl w:ilvl="0" w:tplc="3286A952">
      <w:start w:val="1"/>
      <w:numFmt w:val="decimal"/>
      <w:lvlText w:val="%1."/>
      <w:lvlJc w:val="left"/>
      <w:pPr>
        <w:ind w:left="828" w:hanging="339"/>
      </w:pPr>
      <w:rPr>
        <w:rFonts w:ascii="Carlito" w:eastAsia="Carlito" w:hAnsi="Carlito" w:cs="Carlito" w:hint="default"/>
        <w:w w:val="103"/>
        <w:sz w:val="20"/>
        <w:szCs w:val="20"/>
        <w:lang w:val="en-US" w:eastAsia="en-US" w:bidi="ar-SA"/>
      </w:rPr>
    </w:lvl>
    <w:lvl w:ilvl="1" w:tplc="46B26B2A">
      <w:start w:val="1"/>
      <w:numFmt w:val="lowerLetter"/>
      <w:lvlText w:val="%2."/>
      <w:lvlJc w:val="left"/>
      <w:pPr>
        <w:ind w:left="1505" w:hanging="339"/>
      </w:pPr>
      <w:rPr>
        <w:rFonts w:ascii="Carlito" w:eastAsia="Carlito" w:hAnsi="Carlito" w:cs="Carlito" w:hint="default"/>
        <w:spacing w:val="-2"/>
        <w:w w:val="103"/>
        <w:sz w:val="20"/>
        <w:szCs w:val="20"/>
        <w:lang w:val="en-US" w:eastAsia="en-US" w:bidi="ar-SA"/>
      </w:rPr>
    </w:lvl>
    <w:lvl w:ilvl="2" w:tplc="B93CDA12">
      <w:numFmt w:val="bullet"/>
      <w:lvlText w:val="•"/>
      <w:lvlJc w:val="left"/>
      <w:pPr>
        <w:ind w:left="2431" w:hanging="339"/>
      </w:pPr>
      <w:rPr>
        <w:rFonts w:hint="default"/>
        <w:lang w:val="en-US" w:eastAsia="en-US" w:bidi="ar-SA"/>
      </w:rPr>
    </w:lvl>
    <w:lvl w:ilvl="3" w:tplc="A25C4FCA">
      <w:numFmt w:val="bullet"/>
      <w:lvlText w:val="•"/>
      <w:lvlJc w:val="left"/>
      <w:pPr>
        <w:ind w:left="3362" w:hanging="339"/>
      </w:pPr>
      <w:rPr>
        <w:rFonts w:hint="default"/>
        <w:lang w:val="en-US" w:eastAsia="en-US" w:bidi="ar-SA"/>
      </w:rPr>
    </w:lvl>
    <w:lvl w:ilvl="4" w:tplc="4852C7B0">
      <w:numFmt w:val="bullet"/>
      <w:lvlText w:val="•"/>
      <w:lvlJc w:val="left"/>
      <w:pPr>
        <w:ind w:left="4293" w:hanging="339"/>
      </w:pPr>
      <w:rPr>
        <w:rFonts w:hint="default"/>
        <w:lang w:val="en-US" w:eastAsia="en-US" w:bidi="ar-SA"/>
      </w:rPr>
    </w:lvl>
    <w:lvl w:ilvl="5" w:tplc="39B8CFCC">
      <w:numFmt w:val="bullet"/>
      <w:lvlText w:val="•"/>
      <w:lvlJc w:val="left"/>
      <w:pPr>
        <w:ind w:left="5224" w:hanging="339"/>
      </w:pPr>
      <w:rPr>
        <w:rFonts w:hint="default"/>
        <w:lang w:val="en-US" w:eastAsia="en-US" w:bidi="ar-SA"/>
      </w:rPr>
    </w:lvl>
    <w:lvl w:ilvl="6" w:tplc="3E3CFB44">
      <w:numFmt w:val="bullet"/>
      <w:lvlText w:val="•"/>
      <w:lvlJc w:val="left"/>
      <w:pPr>
        <w:ind w:left="6155" w:hanging="339"/>
      </w:pPr>
      <w:rPr>
        <w:rFonts w:hint="default"/>
        <w:lang w:val="en-US" w:eastAsia="en-US" w:bidi="ar-SA"/>
      </w:rPr>
    </w:lvl>
    <w:lvl w:ilvl="7" w:tplc="055026CE">
      <w:numFmt w:val="bullet"/>
      <w:lvlText w:val="•"/>
      <w:lvlJc w:val="left"/>
      <w:pPr>
        <w:ind w:left="7086" w:hanging="339"/>
      </w:pPr>
      <w:rPr>
        <w:rFonts w:hint="default"/>
        <w:lang w:val="en-US" w:eastAsia="en-US" w:bidi="ar-SA"/>
      </w:rPr>
    </w:lvl>
    <w:lvl w:ilvl="8" w:tplc="35964CEA">
      <w:numFmt w:val="bullet"/>
      <w:lvlText w:val="•"/>
      <w:lvlJc w:val="left"/>
      <w:pPr>
        <w:ind w:left="8017" w:hanging="339"/>
      </w:pPr>
      <w:rPr>
        <w:rFonts w:hint="default"/>
        <w:lang w:val="en-US" w:eastAsia="en-US" w:bidi="ar-SA"/>
      </w:rPr>
    </w:lvl>
  </w:abstractNum>
  <w:abstractNum w:abstractNumId="2" w15:restartNumberingAfterBreak="0">
    <w:nsid w:val="18940B6A"/>
    <w:multiLevelType w:val="hybridMultilevel"/>
    <w:tmpl w:val="05888212"/>
    <w:lvl w:ilvl="0" w:tplc="7D42A8DE">
      <w:numFmt w:val="bullet"/>
      <w:lvlText w:val="-"/>
      <w:lvlJc w:val="left"/>
      <w:pPr>
        <w:ind w:left="828" w:hanging="339"/>
      </w:pPr>
      <w:rPr>
        <w:rFonts w:ascii="Carlito" w:eastAsia="Carlito" w:hAnsi="Carlito" w:cs="Carlito" w:hint="default"/>
        <w:w w:val="103"/>
        <w:sz w:val="20"/>
        <w:szCs w:val="20"/>
        <w:lang w:val="en-US" w:eastAsia="en-US" w:bidi="ar-SA"/>
      </w:rPr>
    </w:lvl>
    <w:lvl w:ilvl="1" w:tplc="F858D0C6">
      <w:numFmt w:val="bullet"/>
      <w:lvlText w:val="o"/>
      <w:lvlJc w:val="left"/>
      <w:pPr>
        <w:ind w:left="1505" w:hanging="339"/>
      </w:pPr>
      <w:rPr>
        <w:rFonts w:ascii="Courier New" w:eastAsia="Courier New" w:hAnsi="Courier New" w:cs="Courier New" w:hint="default"/>
        <w:w w:val="103"/>
        <w:sz w:val="20"/>
        <w:szCs w:val="20"/>
        <w:lang w:val="en-US" w:eastAsia="en-US" w:bidi="ar-SA"/>
      </w:rPr>
    </w:lvl>
    <w:lvl w:ilvl="2" w:tplc="E0F23880">
      <w:numFmt w:val="bullet"/>
      <w:lvlText w:val="•"/>
      <w:lvlJc w:val="left"/>
      <w:pPr>
        <w:ind w:left="2431" w:hanging="339"/>
      </w:pPr>
      <w:rPr>
        <w:rFonts w:hint="default"/>
        <w:lang w:val="en-US" w:eastAsia="en-US" w:bidi="ar-SA"/>
      </w:rPr>
    </w:lvl>
    <w:lvl w:ilvl="3" w:tplc="E5660718">
      <w:numFmt w:val="bullet"/>
      <w:lvlText w:val="•"/>
      <w:lvlJc w:val="left"/>
      <w:pPr>
        <w:ind w:left="3362" w:hanging="339"/>
      </w:pPr>
      <w:rPr>
        <w:rFonts w:hint="default"/>
        <w:lang w:val="en-US" w:eastAsia="en-US" w:bidi="ar-SA"/>
      </w:rPr>
    </w:lvl>
    <w:lvl w:ilvl="4" w:tplc="A74467C0">
      <w:numFmt w:val="bullet"/>
      <w:lvlText w:val="•"/>
      <w:lvlJc w:val="left"/>
      <w:pPr>
        <w:ind w:left="4293" w:hanging="339"/>
      </w:pPr>
      <w:rPr>
        <w:rFonts w:hint="default"/>
        <w:lang w:val="en-US" w:eastAsia="en-US" w:bidi="ar-SA"/>
      </w:rPr>
    </w:lvl>
    <w:lvl w:ilvl="5" w:tplc="AAF62494">
      <w:numFmt w:val="bullet"/>
      <w:lvlText w:val="•"/>
      <w:lvlJc w:val="left"/>
      <w:pPr>
        <w:ind w:left="5224" w:hanging="339"/>
      </w:pPr>
      <w:rPr>
        <w:rFonts w:hint="default"/>
        <w:lang w:val="en-US" w:eastAsia="en-US" w:bidi="ar-SA"/>
      </w:rPr>
    </w:lvl>
    <w:lvl w:ilvl="6" w:tplc="932ECA4A">
      <w:numFmt w:val="bullet"/>
      <w:lvlText w:val="•"/>
      <w:lvlJc w:val="left"/>
      <w:pPr>
        <w:ind w:left="6155" w:hanging="339"/>
      </w:pPr>
      <w:rPr>
        <w:rFonts w:hint="default"/>
        <w:lang w:val="en-US" w:eastAsia="en-US" w:bidi="ar-SA"/>
      </w:rPr>
    </w:lvl>
    <w:lvl w:ilvl="7" w:tplc="1A9ACFDE">
      <w:numFmt w:val="bullet"/>
      <w:lvlText w:val="•"/>
      <w:lvlJc w:val="left"/>
      <w:pPr>
        <w:ind w:left="7086" w:hanging="339"/>
      </w:pPr>
      <w:rPr>
        <w:rFonts w:hint="default"/>
        <w:lang w:val="en-US" w:eastAsia="en-US" w:bidi="ar-SA"/>
      </w:rPr>
    </w:lvl>
    <w:lvl w:ilvl="8" w:tplc="ED880CCA">
      <w:numFmt w:val="bullet"/>
      <w:lvlText w:val="•"/>
      <w:lvlJc w:val="left"/>
      <w:pPr>
        <w:ind w:left="8017" w:hanging="339"/>
      </w:pPr>
      <w:rPr>
        <w:rFonts w:hint="default"/>
        <w:lang w:val="en-US" w:eastAsia="en-US" w:bidi="ar-SA"/>
      </w:rPr>
    </w:lvl>
  </w:abstractNum>
  <w:abstractNum w:abstractNumId="3" w15:restartNumberingAfterBreak="0">
    <w:nsid w:val="2C0F717A"/>
    <w:multiLevelType w:val="hybridMultilevel"/>
    <w:tmpl w:val="5B3683C8"/>
    <w:lvl w:ilvl="0" w:tplc="EE8C2ACE">
      <w:numFmt w:val="bullet"/>
      <w:lvlText w:val=""/>
      <w:lvlJc w:val="left"/>
      <w:pPr>
        <w:ind w:left="828" w:hanging="339"/>
      </w:pPr>
      <w:rPr>
        <w:rFonts w:ascii="Symbol" w:eastAsia="Symbol" w:hAnsi="Symbol" w:cs="Symbol" w:hint="default"/>
        <w:w w:val="103"/>
        <w:sz w:val="20"/>
        <w:szCs w:val="20"/>
        <w:lang w:val="en-US" w:eastAsia="en-US" w:bidi="ar-SA"/>
      </w:rPr>
    </w:lvl>
    <w:lvl w:ilvl="1" w:tplc="982C52B2">
      <w:numFmt w:val="bullet"/>
      <w:lvlText w:val="•"/>
      <w:lvlJc w:val="left"/>
      <w:pPr>
        <w:ind w:left="1726" w:hanging="339"/>
      </w:pPr>
      <w:rPr>
        <w:rFonts w:hint="default"/>
        <w:lang w:val="en-US" w:eastAsia="en-US" w:bidi="ar-SA"/>
      </w:rPr>
    </w:lvl>
    <w:lvl w:ilvl="2" w:tplc="FF807BF2">
      <w:numFmt w:val="bullet"/>
      <w:lvlText w:val="•"/>
      <w:lvlJc w:val="left"/>
      <w:pPr>
        <w:ind w:left="2632" w:hanging="339"/>
      </w:pPr>
      <w:rPr>
        <w:rFonts w:hint="default"/>
        <w:lang w:val="en-US" w:eastAsia="en-US" w:bidi="ar-SA"/>
      </w:rPr>
    </w:lvl>
    <w:lvl w:ilvl="3" w:tplc="5F1E5E4A">
      <w:numFmt w:val="bullet"/>
      <w:lvlText w:val="•"/>
      <w:lvlJc w:val="left"/>
      <w:pPr>
        <w:ind w:left="3538" w:hanging="339"/>
      </w:pPr>
      <w:rPr>
        <w:rFonts w:hint="default"/>
        <w:lang w:val="en-US" w:eastAsia="en-US" w:bidi="ar-SA"/>
      </w:rPr>
    </w:lvl>
    <w:lvl w:ilvl="4" w:tplc="AB48883A">
      <w:numFmt w:val="bullet"/>
      <w:lvlText w:val="•"/>
      <w:lvlJc w:val="left"/>
      <w:pPr>
        <w:ind w:left="4444" w:hanging="339"/>
      </w:pPr>
      <w:rPr>
        <w:rFonts w:hint="default"/>
        <w:lang w:val="en-US" w:eastAsia="en-US" w:bidi="ar-SA"/>
      </w:rPr>
    </w:lvl>
    <w:lvl w:ilvl="5" w:tplc="9A4AA4A0">
      <w:numFmt w:val="bullet"/>
      <w:lvlText w:val="•"/>
      <w:lvlJc w:val="left"/>
      <w:pPr>
        <w:ind w:left="5350" w:hanging="339"/>
      </w:pPr>
      <w:rPr>
        <w:rFonts w:hint="default"/>
        <w:lang w:val="en-US" w:eastAsia="en-US" w:bidi="ar-SA"/>
      </w:rPr>
    </w:lvl>
    <w:lvl w:ilvl="6" w:tplc="07D84748">
      <w:numFmt w:val="bullet"/>
      <w:lvlText w:val="•"/>
      <w:lvlJc w:val="left"/>
      <w:pPr>
        <w:ind w:left="6256" w:hanging="339"/>
      </w:pPr>
      <w:rPr>
        <w:rFonts w:hint="default"/>
        <w:lang w:val="en-US" w:eastAsia="en-US" w:bidi="ar-SA"/>
      </w:rPr>
    </w:lvl>
    <w:lvl w:ilvl="7" w:tplc="16704E4A">
      <w:numFmt w:val="bullet"/>
      <w:lvlText w:val="•"/>
      <w:lvlJc w:val="left"/>
      <w:pPr>
        <w:ind w:left="7162" w:hanging="339"/>
      </w:pPr>
      <w:rPr>
        <w:rFonts w:hint="default"/>
        <w:lang w:val="en-US" w:eastAsia="en-US" w:bidi="ar-SA"/>
      </w:rPr>
    </w:lvl>
    <w:lvl w:ilvl="8" w:tplc="F1BA0CCC">
      <w:numFmt w:val="bullet"/>
      <w:lvlText w:val="•"/>
      <w:lvlJc w:val="left"/>
      <w:pPr>
        <w:ind w:left="8068" w:hanging="339"/>
      </w:pPr>
      <w:rPr>
        <w:rFonts w:hint="default"/>
        <w:lang w:val="en-US" w:eastAsia="en-US" w:bidi="ar-SA"/>
      </w:rPr>
    </w:lvl>
  </w:abstractNum>
  <w:abstractNum w:abstractNumId="4" w15:restartNumberingAfterBreak="0">
    <w:nsid w:val="2D164E0F"/>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F3230"/>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61264"/>
    <w:multiLevelType w:val="hybridMultilevel"/>
    <w:tmpl w:val="EB825D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8F57C3B"/>
    <w:multiLevelType w:val="hybridMultilevel"/>
    <w:tmpl w:val="A3E07AB2"/>
    <w:lvl w:ilvl="0" w:tplc="66CC2FCA">
      <w:start w:val="10"/>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712A3A0D"/>
    <w:multiLevelType w:val="hybridMultilevel"/>
    <w:tmpl w:val="85B4CDF2"/>
    <w:lvl w:ilvl="0" w:tplc="7416F7EC">
      <w:start w:val="1"/>
      <w:numFmt w:val="lowerLetter"/>
      <w:lvlText w:val="%1."/>
      <w:lvlJc w:val="left"/>
      <w:pPr>
        <w:ind w:left="1505" w:hanging="339"/>
      </w:pPr>
      <w:rPr>
        <w:rFonts w:ascii="Carlito" w:eastAsia="Carlito" w:hAnsi="Carlito" w:cs="Carlito" w:hint="default"/>
        <w:spacing w:val="-2"/>
        <w:w w:val="103"/>
        <w:sz w:val="20"/>
        <w:szCs w:val="20"/>
        <w:lang w:val="en-US" w:eastAsia="en-US" w:bidi="ar-SA"/>
      </w:rPr>
    </w:lvl>
    <w:lvl w:ilvl="1" w:tplc="C9D6B7EE">
      <w:start w:val="1"/>
      <w:numFmt w:val="lowerRoman"/>
      <w:lvlText w:val="%2."/>
      <w:lvlJc w:val="left"/>
      <w:pPr>
        <w:ind w:left="2182" w:hanging="269"/>
        <w:jc w:val="right"/>
      </w:pPr>
      <w:rPr>
        <w:rFonts w:ascii="Carlito" w:eastAsia="Carlito" w:hAnsi="Carlito" w:cs="Carlito" w:hint="default"/>
        <w:w w:val="103"/>
        <w:sz w:val="20"/>
        <w:szCs w:val="20"/>
        <w:lang w:val="en-US" w:eastAsia="en-US" w:bidi="ar-SA"/>
      </w:rPr>
    </w:lvl>
    <w:lvl w:ilvl="2" w:tplc="9F5E6526">
      <w:numFmt w:val="bullet"/>
      <w:lvlText w:val="•"/>
      <w:lvlJc w:val="left"/>
      <w:pPr>
        <w:ind w:left="3035" w:hanging="269"/>
      </w:pPr>
      <w:rPr>
        <w:rFonts w:hint="default"/>
        <w:lang w:val="en-US" w:eastAsia="en-US" w:bidi="ar-SA"/>
      </w:rPr>
    </w:lvl>
    <w:lvl w:ilvl="3" w:tplc="CA2A3E5C">
      <w:numFmt w:val="bullet"/>
      <w:lvlText w:val="•"/>
      <w:lvlJc w:val="left"/>
      <w:pPr>
        <w:ind w:left="3891" w:hanging="269"/>
      </w:pPr>
      <w:rPr>
        <w:rFonts w:hint="default"/>
        <w:lang w:val="en-US" w:eastAsia="en-US" w:bidi="ar-SA"/>
      </w:rPr>
    </w:lvl>
    <w:lvl w:ilvl="4" w:tplc="C224905C">
      <w:numFmt w:val="bullet"/>
      <w:lvlText w:val="•"/>
      <w:lvlJc w:val="left"/>
      <w:pPr>
        <w:ind w:left="4746" w:hanging="269"/>
      </w:pPr>
      <w:rPr>
        <w:rFonts w:hint="default"/>
        <w:lang w:val="en-US" w:eastAsia="en-US" w:bidi="ar-SA"/>
      </w:rPr>
    </w:lvl>
    <w:lvl w:ilvl="5" w:tplc="AD0C3AA6">
      <w:numFmt w:val="bullet"/>
      <w:lvlText w:val="•"/>
      <w:lvlJc w:val="left"/>
      <w:pPr>
        <w:ind w:left="5602" w:hanging="269"/>
      </w:pPr>
      <w:rPr>
        <w:rFonts w:hint="default"/>
        <w:lang w:val="en-US" w:eastAsia="en-US" w:bidi="ar-SA"/>
      </w:rPr>
    </w:lvl>
    <w:lvl w:ilvl="6" w:tplc="5E9C126E">
      <w:numFmt w:val="bullet"/>
      <w:lvlText w:val="•"/>
      <w:lvlJc w:val="left"/>
      <w:pPr>
        <w:ind w:left="6457" w:hanging="269"/>
      </w:pPr>
      <w:rPr>
        <w:rFonts w:hint="default"/>
        <w:lang w:val="en-US" w:eastAsia="en-US" w:bidi="ar-SA"/>
      </w:rPr>
    </w:lvl>
    <w:lvl w:ilvl="7" w:tplc="6A826D46">
      <w:numFmt w:val="bullet"/>
      <w:lvlText w:val="•"/>
      <w:lvlJc w:val="left"/>
      <w:pPr>
        <w:ind w:left="7313" w:hanging="269"/>
      </w:pPr>
      <w:rPr>
        <w:rFonts w:hint="default"/>
        <w:lang w:val="en-US" w:eastAsia="en-US" w:bidi="ar-SA"/>
      </w:rPr>
    </w:lvl>
    <w:lvl w:ilvl="8" w:tplc="90F805D0">
      <w:numFmt w:val="bullet"/>
      <w:lvlText w:val="•"/>
      <w:lvlJc w:val="left"/>
      <w:pPr>
        <w:ind w:left="8168" w:hanging="269"/>
      </w:pPr>
      <w:rPr>
        <w:rFonts w:hint="default"/>
        <w:lang w:val="en-US" w:eastAsia="en-US" w:bidi="ar-SA"/>
      </w:rPr>
    </w:lvl>
  </w:abstractNum>
  <w:abstractNum w:abstractNumId="9" w15:restartNumberingAfterBreak="0">
    <w:nsid w:val="7B8316F5"/>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D29BA"/>
    <w:multiLevelType w:val="hybridMultilevel"/>
    <w:tmpl w:val="7286201C"/>
    <w:lvl w:ilvl="0" w:tplc="1F4AB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836E4"/>
    <w:multiLevelType w:val="hybridMultilevel"/>
    <w:tmpl w:val="045821A2"/>
    <w:lvl w:ilvl="0" w:tplc="BFB40988">
      <w:start w:val="1"/>
      <w:numFmt w:val="decimal"/>
      <w:lvlText w:val="%1."/>
      <w:lvlJc w:val="left"/>
      <w:pPr>
        <w:ind w:left="1167" w:hanging="339"/>
        <w:jc w:val="right"/>
      </w:pPr>
      <w:rPr>
        <w:rFonts w:hint="default"/>
        <w:w w:val="103"/>
        <w:lang w:val="en-US" w:eastAsia="en-US" w:bidi="ar-SA"/>
      </w:rPr>
    </w:lvl>
    <w:lvl w:ilvl="1" w:tplc="E34ECE26">
      <w:numFmt w:val="bullet"/>
      <w:lvlText w:val="•"/>
      <w:lvlJc w:val="left"/>
      <w:pPr>
        <w:ind w:left="2032" w:hanging="339"/>
      </w:pPr>
      <w:rPr>
        <w:rFonts w:hint="default"/>
        <w:lang w:val="en-US" w:eastAsia="en-US" w:bidi="ar-SA"/>
      </w:rPr>
    </w:lvl>
    <w:lvl w:ilvl="2" w:tplc="114024D6">
      <w:numFmt w:val="bullet"/>
      <w:lvlText w:val="•"/>
      <w:lvlJc w:val="left"/>
      <w:pPr>
        <w:ind w:left="2904" w:hanging="339"/>
      </w:pPr>
      <w:rPr>
        <w:rFonts w:hint="default"/>
        <w:lang w:val="en-US" w:eastAsia="en-US" w:bidi="ar-SA"/>
      </w:rPr>
    </w:lvl>
    <w:lvl w:ilvl="3" w:tplc="A7B8B2BA">
      <w:numFmt w:val="bullet"/>
      <w:lvlText w:val="•"/>
      <w:lvlJc w:val="left"/>
      <w:pPr>
        <w:ind w:left="3776" w:hanging="339"/>
      </w:pPr>
      <w:rPr>
        <w:rFonts w:hint="default"/>
        <w:lang w:val="en-US" w:eastAsia="en-US" w:bidi="ar-SA"/>
      </w:rPr>
    </w:lvl>
    <w:lvl w:ilvl="4" w:tplc="26029110">
      <w:numFmt w:val="bullet"/>
      <w:lvlText w:val="•"/>
      <w:lvlJc w:val="left"/>
      <w:pPr>
        <w:ind w:left="4648" w:hanging="339"/>
      </w:pPr>
      <w:rPr>
        <w:rFonts w:hint="default"/>
        <w:lang w:val="en-US" w:eastAsia="en-US" w:bidi="ar-SA"/>
      </w:rPr>
    </w:lvl>
    <w:lvl w:ilvl="5" w:tplc="9DB2346C">
      <w:numFmt w:val="bullet"/>
      <w:lvlText w:val="•"/>
      <w:lvlJc w:val="left"/>
      <w:pPr>
        <w:ind w:left="5520" w:hanging="339"/>
      </w:pPr>
      <w:rPr>
        <w:rFonts w:hint="default"/>
        <w:lang w:val="en-US" w:eastAsia="en-US" w:bidi="ar-SA"/>
      </w:rPr>
    </w:lvl>
    <w:lvl w:ilvl="6" w:tplc="944CC10E">
      <w:numFmt w:val="bullet"/>
      <w:lvlText w:val="•"/>
      <w:lvlJc w:val="left"/>
      <w:pPr>
        <w:ind w:left="6392" w:hanging="339"/>
      </w:pPr>
      <w:rPr>
        <w:rFonts w:hint="default"/>
        <w:lang w:val="en-US" w:eastAsia="en-US" w:bidi="ar-SA"/>
      </w:rPr>
    </w:lvl>
    <w:lvl w:ilvl="7" w:tplc="EED2ADEA">
      <w:numFmt w:val="bullet"/>
      <w:lvlText w:val="•"/>
      <w:lvlJc w:val="left"/>
      <w:pPr>
        <w:ind w:left="7264" w:hanging="339"/>
      </w:pPr>
      <w:rPr>
        <w:rFonts w:hint="default"/>
        <w:lang w:val="en-US" w:eastAsia="en-US" w:bidi="ar-SA"/>
      </w:rPr>
    </w:lvl>
    <w:lvl w:ilvl="8" w:tplc="78720E26">
      <w:numFmt w:val="bullet"/>
      <w:lvlText w:val="•"/>
      <w:lvlJc w:val="left"/>
      <w:pPr>
        <w:ind w:left="8136" w:hanging="339"/>
      </w:pPr>
      <w:rPr>
        <w:rFonts w:hint="default"/>
        <w:lang w:val="en-US" w:eastAsia="en-US" w:bidi="ar-SA"/>
      </w:rPr>
    </w:lvl>
  </w:abstractNum>
  <w:num w:numId="1">
    <w:abstractNumId w:val="5"/>
  </w:num>
  <w:num w:numId="2">
    <w:abstractNumId w:val="10"/>
  </w:num>
  <w:num w:numId="3">
    <w:abstractNumId w:val="7"/>
  </w:num>
  <w:num w:numId="4">
    <w:abstractNumId w:val="9"/>
  </w:num>
  <w:num w:numId="5">
    <w:abstractNumId w:val="8"/>
  </w:num>
  <w:num w:numId="6">
    <w:abstractNumId w:val="1"/>
  </w:num>
  <w:num w:numId="7">
    <w:abstractNumId w:val="0"/>
  </w:num>
  <w:num w:numId="8">
    <w:abstractNumId w:val="3"/>
  </w:num>
  <w:num w:numId="9">
    <w:abstractNumId w:val="2"/>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17"/>
    <w:rsid w:val="00044E65"/>
    <w:rsid w:val="000A02EE"/>
    <w:rsid w:val="000E12EB"/>
    <w:rsid w:val="0014748C"/>
    <w:rsid w:val="001938E5"/>
    <w:rsid w:val="001C3FBB"/>
    <w:rsid w:val="001E095A"/>
    <w:rsid w:val="001E7B34"/>
    <w:rsid w:val="001F3386"/>
    <w:rsid w:val="0020341D"/>
    <w:rsid w:val="002111B8"/>
    <w:rsid w:val="00266929"/>
    <w:rsid w:val="002836D8"/>
    <w:rsid w:val="00326794"/>
    <w:rsid w:val="003B0B04"/>
    <w:rsid w:val="003D50FB"/>
    <w:rsid w:val="00403FE4"/>
    <w:rsid w:val="004075E3"/>
    <w:rsid w:val="0042120D"/>
    <w:rsid w:val="00422BB6"/>
    <w:rsid w:val="00461726"/>
    <w:rsid w:val="004D3A3E"/>
    <w:rsid w:val="004F4115"/>
    <w:rsid w:val="0053108F"/>
    <w:rsid w:val="005F2847"/>
    <w:rsid w:val="00672A11"/>
    <w:rsid w:val="00690F18"/>
    <w:rsid w:val="006C4E9E"/>
    <w:rsid w:val="007155B5"/>
    <w:rsid w:val="007207E3"/>
    <w:rsid w:val="007876DF"/>
    <w:rsid w:val="00795955"/>
    <w:rsid w:val="007A0D90"/>
    <w:rsid w:val="007B64F8"/>
    <w:rsid w:val="008A25E7"/>
    <w:rsid w:val="00903BF1"/>
    <w:rsid w:val="00940DDE"/>
    <w:rsid w:val="0094299C"/>
    <w:rsid w:val="00957A71"/>
    <w:rsid w:val="009D49A8"/>
    <w:rsid w:val="00A26228"/>
    <w:rsid w:val="00AB40A7"/>
    <w:rsid w:val="00AE2517"/>
    <w:rsid w:val="00AE4221"/>
    <w:rsid w:val="00AF257A"/>
    <w:rsid w:val="00AF4DE1"/>
    <w:rsid w:val="00B92F4E"/>
    <w:rsid w:val="00BA1CDC"/>
    <w:rsid w:val="00BB3679"/>
    <w:rsid w:val="00C031A8"/>
    <w:rsid w:val="00C36389"/>
    <w:rsid w:val="00CB36A8"/>
    <w:rsid w:val="00CD2316"/>
    <w:rsid w:val="00DA643C"/>
    <w:rsid w:val="00E00057"/>
    <w:rsid w:val="00E0607E"/>
    <w:rsid w:val="00E33AA1"/>
    <w:rsid w:val="00EB1721"/>
    <w:rsid w:val="00EB52E3"/>
    <w:rsid w:val="00EC27B6"/>
    <w:rsid w:val="00EC75DC"/>
    <w:rsid w:val="00EE5980"/>
    <w:rsid w:val="00EF1C9E"/>
    <w:rsid w:val="00F076D2"/>
    <w:rsid w:val="00F14918"/>
    <w:rsid w:val="00F4345C"/>
    <w:rsid w:val="00F6647C"/>
    <w:rsid w:val="00F80C6B"/>
    <w:rsid w:val="00F84FE5"/>
    <w:rsid w:val="00F9054C"/>
    <w:rsid w:val="00FA764B"/>
    <w:rsid w:val="00FF22F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C70B"/>
  <w15:chartTrackingRefBased/>
  <w15:docId w15:val="{0AE9A79F-64EB-4106-9FFF-863B29EF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99C"/>
    <w:pPr>
      <w:widowControl w:val="0"/>
      <w:autoSpaceDE w:val="0"/>
      <w:autoSpaceDN w:val="0"/>
      <w:spacing w:before="40" w:after="0" w:line="240" w:lineRule="auto"/>
      <w:ind w:left="828" w:hanging="339"/>
      <w:outlineLvl w:val="0"/>
    </w:pPr>
    <w:rPr>
      <w:rFonts w:ascii="Carlito" w:eastAsia="Carlito" w:hAnsi="Carlito" w:cs="Carlit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517"/>
    <w:pPr>
      <w:ind w:left="720"/>
      <w:contextualSpacing/>
    </w:pPr>
  </w:style>
  <w:style w:type="character" w:customStyle="1" w:styleId="Bez">
    <w:name w:val="Bez"/>
    <w:rsid w:val="00AF4DE1"/>
    <w:rPr>
      <w:lang w:val="en-US"/>
    </w:rPr>
  </w:style>
  <w:style w:type="character" w:styleId="Hyperlink">
    <w:name w:val="Hyperlink"/>
    <w:basedOn w:val="DefaultParagraphFont"/>
    <w:uiPriority w:val="99"/>
    <w:unhideWhenUsed/>
    <w:rsid w:val="00F14918"/>
    <w:rPr>
      <w:color w:val="0563C1" w:themeColor="hyperlink"/>
      <w:u w:val="single"/>
    </w:rPr>
  </w:style>
  <w:style w:type="character" w:styleId="UnresolvedMention">
    <w:name w:val="Unresolved Mention"/>
    <w:basedOn w:val="DefaultParagraphFont"/>
    <w:uiPriority w:val="99"/>
    <w:semiHidden/>
    <w:unhideWhenUsed/>
    <w:rsid w:val="00F14918"/>
    <w:rPr>
      <w:color w:val="605E5C"/>
      <w:shd w:val="clear" w:color="auto" w:fill="E1DFDD"/>
    </w:rPr>
  </w:style>
  <w:style w:type="paragraph" w:styleId="NoSpacing">
    <w:name w:val="No Spacing"/>
    <w:rsid w:val="002111B8"/>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rPr>
  </w:style>
  <w:style w:type="paragraph" w:styleId="BodyText">
    <w:name w:val="Body Text"/>
    <w:basedOn w:val="Normal"/>
    <w:link w:val="BodyTextChar"/>
    <w:uiPriority w:val="1"/>
    <w:qFormat/>
    <w:rsid w:val="006C4E9E"/>
    <w:pPr>
      <w:widowControl w:val="0"/>
      <w:autoSpaceDE w:val="0"/>
      <w:autoSpaceDN w:val="0"/>
      <w:spacing w:after="0" w:line="240" w:lineRule="auto"/>
    </w:pPr>
    <w:rPr>
      <w:rFonts w:ascii="Carlito" w:eastAsia="Carlito" w:hAnsi="Carlito" w:cs="Carlito"/>
      <w:sz w:val="20"/>
      <w:szCs w:val="20"/>
    </w:rPr>
  </w:style>
  <w:style w:type="character" w:customStyle="1" w:styleId="BodyTextChar">
    <w:name w:val="Body Text Char"/>
    <w:basedOn w:val="DefaultParagraphFont"/>
    <w:link w:val="BodyText"/>
    <w:uiPriority w:val="1"/>
    <w:rsid w:val="006C4E9E"/>
    <w:rPr>
      <w:rFonts w:ascii="Carlito" w:eastAsia="Carlito" w:hAnsi="Carlito" w:cs="Carlito"/>
      <w:sz w:val="20"/>
      <w:szCs w:val="20"/>
    </w:rPr>
  </w:style>
  <w:style w:type="character" w:customStyle="1" w:styleId="Heading1Char">
    <w:name w:val="Heading 1 Char"/>
    <w:basedOn w:val="DefaultParagraphFont"/>
    <w:link w:val="Heading1"/>
    <w:uiPriority w:val="9"/>
    <w:rsid w:val="0094299C"/>
    <w:rPr>
      <w:rFonts w:ascii="Carlito" w:eastAsia="Carlito" w:hAnsi="Carlito" w:cs="Carlito"/>
      <w:b/>
      <w:bCs/>
      <w:sz w:val="20"/>
      <w:szCs w:val="20"/>
    </w:rPr>
  </w:style>
  <w:style w:type="paragraph" w:styleId="PlainText">
    <w:name w:val="Plain Text"/>
    <w:basedOn w:val="Normal"/>
    <w:link w:val="PlainTextChar"/>
    <w:uiPriority w:val="99"/>
    <w:semiHidden/>
    <w:unhideWhenUsed/>
    <w:rsid w:val="00AE4221"/>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AE4221"/>
    <w:rPr>
      <w:rFonts w:ascii="Calibri" w:hAnsi="Calibri"/>
      <w:szCs w:val="21"/>
      <w:lang w:val="en-GB"/>
    </w:rPr>
  </w:style>
  <w:style w:type="paragraph" w:styleId="NormalWeb">
    <w:name w:val="Normal (Web)"/>
    <w:basedOn w:val="Normal"/>
    <w:uiPriority w:val="99"/>
    <w:semiHidden/>
    <w:unhideWhenUsed/>
    <w:rsid w:val="00AE422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306">
      <w:bodyDiv w:val="1"/>
      <w:marLeft w:val="0"/>
      <w:marRight w:val="0"/>
      <w:marTop w:val="0"/>
      <w:marBottom w:val="0"/>
      <w:divBdr>
        <w:top w:val="none" w:sz="0" w:space="0" w:color="auto"/>
        <w:left w:val="none" w:sz="0" w:space="0" w:color="auto"/>
        <w:bottom w:val="none" w:sz="0" w:space="0" w:color="auto"/>
        <w:right w:val="none" w:sz="0" w:space="0" w:color="auto"/>
      </w:divBdr>
    </w:div>
    <w:div w:id="1776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c.hr/connect-through-iuc" TargetMode="External"/><Relationship Id="rId3" Type="http://schemas.openxmlformats.org/officeDocument/2006/relationships/styles" Target="styles.xml"/><Relationship Id="rId7" Type="http://schemas.openxmlformats.org/officeDocument/2006/relationships/hyperlink" Target="https://iuc.hr/iuc-working-paper-se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uc.hr/online-lectur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0DE09-0D87-41A4-89DE-A7CB4EC0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iuc</dc:creator>
  <cp:keywords/>
  <dc:description/>
  <cp:lastModifiedBy>Nada Bruer</cp:lastModifiedBy>
  <cp:revision>7</cp:revision>
  <cp:lastPrinted>2021-02-16T09:44:00Z</cp:lastPrinted>
  <dcterms:created xsi:type="dcterms:W3CDTF">2021-02-12T14:12:00Z</dcterms:created>
  <dcterms:modified xsi:type="dcterms:W3CDTF">2021-02-16T11:20:00Z</dcterms:modified>
</cp:coreProperties>
</file>