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A16" w:rsidRDefault="00A45435" w:rsidP="00A45435">
      <w:pPr>
        <w:pStyle w:val="Title"/>
      </w:pPr>
      <w:r w:rsidRPr="00A45435">
        <w:t xml:space="preserve">Bridging the gap: </w:t>
      </w:r>
      <w:proofErr w:type="spellStart"/>
      <w:r w:rsidRPr="00A45435">
        <w:t>criminologies</w:t>
      </w:r>
      <w:proofErr w:type="spellEnd"/>
      <w:r w:rsidRPr="00A45435">
        <w:t xml:space="preserve"> of atrocity, </w:t>
      </w:r>
      <w:proofErr w:type="spellStart"/>
      <w:r w:rsidRPr="00A45435">
        <w:t>criminologies</w:t>
      </w:r>
      <w:proofErr w:type="spellEnd"/>
      <w:r w:rsidRPr="00A45435">
        <w:t xml:space="preserve"> of serious economic crimes</w:t>
      </w:r>
    </w:p>
    <w:p w:rsidR="00A45435" w:rsidRPr="00A45435" w:rsidRDefault="00A45435" w:rsidP="00A45435">
      <w:pPr>
        <w:pStyle w:val="Subtitle"/>
      </w:pPr>
      <w:r>
        <w:t xml:space="preserve">Andy </w:t>
      </w:r>
      <w:r>
        <w:rPr>
          <w:lang w:val="tr-TR"/>
        </w:rPr>
        <w:t>Aydın</w:t>
      </w:r>
      <w:r>
        <w:t>-Aitchison (</w:t>
      </w:r>
      <w:hyperlink r:id="rId6" w:history="1">
        <w:r w:rsidRPr="00637B90">
          <w:rPr>
            <w:rStyle w:val="Hyperlink"/>
          </w:rPr>
          <w:t>andy.aydin-aitchison@ed.ac.uk</w:t>
        </w:r>
      </w:hyperlink>
      <w:r>
        <w:t xml:space="preserve">, </w:t>
      </w:r>
      <w:r>
        <w:rPr>
          <w:noProof/>
          <w:lang w:eastAsia="en-GB"/>
        </w:rPr>
        <w:drawing>
          <wp:inline distT="0" distB="0" distL="0" distR="0">
            <wp:extent cx="126834" cy="103158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witter_bird_logo_2012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60649" cy="13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hyperlink r:id="rId8" w:history="1">
        <w:r w:rsidRPr="002B3E79">
          <w:rPr>
            <w:rStyle w:val="Hyperlink"/>
          </w:rPr>
          <w:t>@Andy8chi</w:t>
        </w:r>
      </w:hyperlink>
      <w:r>
        <w:t>)</w:t>
      </w:r>
    </w:p>
    <w:p w:rsidR="00A45435" w:rsidRDefault="00A45435" w:rsidP="00A45435">
      <w:pPr>
        <w:pStyle w:val="Heading1"/>
      </w:pPr>
      <w:r>
        <w:t>Readings</w:t>
      </w:r>
    </w:p>
    <w:p w:rsidR="002B3E79" w:rsidRDefault="002B3E79" w:rsidP="002B3E79">
      <w:pPr>
        <w:ind w:left="720" w:hanging="720"/>
      </w:pPr>
      <w:r w:rsidRPr="002B3E79">
        <w:t>Aitchison, Andy. 2016. “</w:t>
      </w:r>
      <w:hyperlink r:id="rId9" w:history="1">
        <w:r w:rsidRPr="002B3E79">
          <w:rPr>
            <w:rStyle w:val="Hyperlink"/>
          </w:rPr>
          <w:t>Police and Persecution in the Bosnian Krajina: Democratisation, Deprofessionalisation and Militarisation</w:t>
        </w:r>
      </w:hyperlink>
      <w:r w:rsidRPr="002B3E79">
        <w:t xml:space="preserve">.” </w:t>
      </w:r>
      <w:r w:rsidRPr="002B3E79">
        <w:rPr>
          <w:i/>
        </w:rPr>
        <w:t>Criminal Justice Issues/</w:t>
      </w:r>
      <w:proofErr w:type="spellStart"/>
      <w:r w:rsidRPr="002B3E79">
        <w:rPr>
          <w:i/>
        </w:rPr>
        <w:t>Kriminalističke</w:t>
      </w:r>
      <w:proofErr w:type="spellEnd"/>
      <w:r w:rsidRPr="002B3E79">
        <w:rPr>
          <w:i/>
        </w:rPr>
        <w:t xml:space="preserve"> Teme</w:t>
      </w:r>
      <w:r w:rsidRPr="002B3E79">
        <w:t xml:space="preserve"> XIV (5–6): 1–19.</w:t>
      </w:r>
      <w:r>
        <w:br/>
      </w:r>
      <w:r>
        <w:br/>
      </w:r>
      <w:r w:rsidRPr="002B3E79">
        <w:t xml:space="preserve">2014. </w:t>
      </w:r>
      <w:r>
        <w:t>“</w:t>
      </w:r>
      <w:hyperlink r:id="rId10" w:history="1">
        <w:r w:rsidRPr="002B3E79">
          <w:rPr>
            <w:rStyle w:val="Hyperlink"/>
          </w:rPr>
          <w:t>Criminological Theory and International Crimes: Examining the Potential</w:t>
        </w:r>
      </w:hyperlink>
      <w:r w:rsidRPr="002B3E79">
        <w:t>.</w:t>
      </w:r>
      <w:r>
        <w:t>”</w:t>
      </w:r>
      <w:r w:rsidRPr="002B3E79">
        <w:t xml:space="preserve"> </w:t>
      </w:r>
      <w:r>
        <w:t xml:space="preserve">In </w:t>
      </w:r>
      <w:r w:rsidRPr="002B3E79">
        <w:rPr>
          <w:i/>
        </w:rPr>
        <w:t>Criminological Approaches to International Criminal Law</w:t>
      </w:r>
      <w:r>
        <w:t xml:space="preserve">, edited by </w:t>
      </w:r>
      <w:proofErr w:type="spellStart"/>
      <w:r w:rsidRPr="002B3E79">
        <w:t>Ilias</w:t>
      </w:r>
      <w:proofErr w:type="spellEnd"/>
      <w:r w:rsidRPr="002B3E79">
        <w:t xml:space="preserve"> </w:t>
      </w:r>
      <w:proofErr w:type="spellStart"/>
      <w:r w:rsidRPr="002B3E79">
        <w:t>Bantekas</w:t>
      </w:r>
      <w:proofErr w:type="spellEnd"/>
      <w:r>
        <w:t xml:space="preserve"> and </w:t>
      </w:r>
      <w:proofErr w:type="spellStart"/>
      <w:r>
        <w:t>Emmanouela</w:t>
      </w:r>
      <w:proofErr w:type="spellEnd"/>
      <w:r>
        <w:t xml:space="preserve"> </w:t>
      </w:r>
      <w:proofErr w:type="spellStart"/>
      <w:r>
        <w:t>Mylonaki</w:t>
      </w:r>
      <w:proofErr w:type="spellEnd"/>
      <w:r>
        <w:t xml:space="preserve">, 22-49. Cambridge: Cambridge University Press. </w:t>
      </w:r>
      <w:r>
        <w:br/>
      </w:r>
      <w:r>
        <w:br/>
      </w:r>
      <w:r w:rsidR="00B261D7" w:rsidRPr="00B261D7">
        <w:t>2013. “</w:t>
      </w:r>
      <w:hyperlink r:id="rId11" w:history="1">
        <w:r w:rsidR="00B261D7" w:rsidRPr="002B3E79">
          <w:rPr>
            <w:rStyle w:val="Hyperlink"/>
          </w:rPr>
          <w:t>Governing through Crime Internationally? Bosnia and Herzegovina.</w:t>
        </w:r>
      </w:hyperlink>
      <w:r w:rsidR="00B261D7" w:rsidRPr="00B261D7">
        <w:t xml:space="preserve">” </w:t>
      </w:r>
      <w:r w:rsidR="00B261D7" w:rsidRPr="002B3E79">
        <w:rPr>
          <w:i/>
        </w:rPr>
        <w:t>British Journal of Politics and International Relations</w:t>
      </w:r>
      <w:r w:rsidR="00B261D7" w:rsidRPr="00B261D7">
        <w:t xml:space="preserve"> 15 (4): 548–65. </w:t>
      </w:r>
    </w:p>
    <w:p w:rsidR="00A45435" w:rsidRDefault="0010425D" w:rsidP="002B3E79">
      <w:pPr>
        <w:ind w:left="720" w:hanging="720"/>
      </w:pPr>
      <w:proofErr w:type="gramStart"/>
      <w:r>
        <w:t>d</w:t>
      </w:r>
      <w:r w:rsidR="00A45435">
        <w:t>e</w:t>
      </w:r>
      <w:proofErr w:type="gramEnd"/>
      <w:r w:rsidR="00A45435">
        <w:t xml:space="preserve"> </w:t>
      </w:r>
      <w:r w:rsidR="00A45435" w:rsidRPr="00A45435">
        <w:t>Waal, Alex. 2014. “</w:t>
      </w:r>
      <w:hyperlink r:id="rId12" w:history="1">
        <w:r w:rsidR="00A45435" w:rsidRPr="002B3E79">
          <w:rPr>
            <w:rStyle w:val="Hyperlink"/>
          </w:rPr>
          <w:t>When Kleptocracy Becomes Insolvent: Brute Causes of the Civil War in South Sudan</w:t>
        </w:r>
      </w:hyperlink>
      <w:r w:rsidR="00A45435" w:rsidRPr="00A45435">
        <w:t xml:space="preserve">.” </w:t>
      </w:r>
      <w:r w:rsidR="00A45435" w:rsidRPr="002B3E79">
        <w:rPr>
          <w:i/>
        </w:rPr>
        <w:t>African Affairs</w:t>
      </w:r>
      <w:r w:rsidR="00A45435" w:rsidRPr="00A45435">
        <w:t xml:space="preserve"> 113 (452): 347–69</w:t>
      </w:r>
      <w:proofErr w:type="gramStart"/>
      <w:r w:rsidR="00A45435" w:rsidRPr="00A45435">
        <w:t>..</w:t>
      </w:r>
      <w:proofErr w:type="gramEnd"/>
    </w:p>
    <w:p w:rsidR="00B261D7" w:rsidRDefault="00B261D7" w:rsidP="002B3E79">
      <w:pPr>
        <w:ind w:left="720" w:hanging="720"/>
      </w:pPr>
      <w:proofErr w:type="spellStart"/>
      <w:r w:rsidRPr="00B261D7">
        <w:t>Festić</w:t>
      </w:r>
      <w:proofErr w:type="spellEnd"/>
      <w:r w:rsidRPr="00B261D7">
        <w:t xml:space="preserve">, </w:t>
      </w:r>
      <w:proofErr w:type="spellStart"/>
      <w:r w:rsidRPr="00B261D7">
        <w:t>Amra</w:t>
      </w:r>
      <w:proofErr w:type="spellEnd"/>
      <w:r w:rsidRPr="00B261D7">
        <w:t xml:space="preserve">, and Adrian </w:t>
      </w:r>
      <w:proofErr w:type="spellStart"/>
      <w:r w:rsidRPr="00B261D7">
        <w:t>Rausche</w:t>
      </w:r>
      <w:proofErr w:type="spellEnd"/>
      <w:r w:rsidRPr="00B261D7">
        <w:t>. 2004. “</w:t>
      </w:r>
      <w:hyperlink r:id="rId13" w:history="1">
        <w:r w:rsidRPr="002B3E79">
          <w:rPr>
            <w:rStyle w:val="Hyperlink"/>
          </w:rPr>
          <w:t>War by Other Means: How Bosnia’s Clandestine Political Economies Obstruct Peace and State Building</w:t>
        </w:r>
      </w:hyperlink>
      <w:r w:rsidRPr="00B261D7">
        <w:t xml:space="preserve">.” </w:t>
      </w:r>
      <w:r w:rsidRPr="002B3E79">
        <w:rPr>
          <w:i/>
        </w:rPr>
        <w:t>Problems of Post-Communism</w:t>
      </w:r>
      <w:r w:rsidR="00302287">
        <w:t xml:space="preserve"> 51 (3): 27-34</w:t>
      </w:r>
      <w:r w:rsidRPr="00B261D7">
        <w:t>.</w:t>
      </w:r>
      <w:r>
        <w:t xml:space="preserve"> </w:t>
      </w:r>
    </w:p>
    <w:p w:rsidR="00A45435" w:rsidRDefault="00A45435" w:rsidP="002B3E79">
      <w:pPr>
        <w:ind w:left="720" w:hanging="720"/>
      </w:pPr>
      <w:r w:rsidRPr="00A45435">
        <w:t>Good, Kenneth. 2017. “</w:t>
      </w:r>
      <w:hyperlink r:id="rId14" w:history="1">
        <w:r w:rsidRPr="00302287">
          <w:rPr>
            <w:rStyle w:val="Hyperlink"/>
          </w:rPr>
          <w:t>Cuba’s Defence of Angola against Pretoria and Washington: Big Successes and Great Costs</w:t>
        </w:r>
      </w:hyperlink>
      <w:r w:rsidRPr="00A45435">
        <w:t xml:space="preserve">.” </w:t>
      </w:r>
      <w:r w:rsidRPr="00302287">
        <w:rPr>
          <w:i/>
        </w:rPr>
        <w:t xml:space="preserve">Journal of Asian and African Studies </w:t>
      </w:r>
      <w:r w:rsidRPr="00A45435">
        <w:t>52 (5): 657–69.</w:t>
      </w:r>
    </w:p>
    <w:p w:rsidR="00B261D7" w:rsidRDefault="00B261D7" w:rsidP="00302287">
      <w:pPr>
        <w:ind w:left="720" w:hanging="720"/>
      </w:pPr>
      <w:r w:rsidRPr="00B261D7">
        <w:t xml:space="preserve">Green, Penny, and Tony Ward. 2017. “Understanding State Crime.” In </w:t>
      </w:r>
      <w:r w:rsidRPr="00302287">
        <w:rPr>
          <w:i/>
        </w:rPr>
        <w:t>The Oxford Handbook of Criminology</w:t>
      </w:r>
      <w:r w:rsidRPr="00B261D7">
        <w:t xml:space="preserve">, edited by Alison Liebling, Shadd Maruna, and Lesley </w:t>
      </w:r>
      <w:proofErr w:type="spellStart"/>
      <w:r w:rsidRPr="00B261D7">
        <w:t>McAra</w:t>
      </w:r>
      <w:proofErr w:type="spellEnd"/>
      <w:r w:rsidRPr="00B261D7">
        <w:t>, 6th ed., 438–54. Oxford: Oxford University Press.</w:t>
      </w:r>
      <w:r w:rsidR="00302287">
        <w:br/>
      </w:r>
      <w:r w:rsidR="00302287">
        <w:br/>
      </w:r>
      <w:r w:rsidRPr="00B261D7">
        <w:t>2009. “</w:t>
      </w:r>
      <w:hyperlink r:id="rId15" w:history="1">
        <w:r w:rsidRPr="00302287">
          <w:rPr>
            <w:rStyle w:val="Hyperlink"/>
          </w:rPr>
          <w:t>State-Building and the Logic of Violence in Iraq</w:t>
        </w:r>
      </w:hyperlink>
      <w:r w:rsidRPr="00B261D7">
        <w:t xml:space="preserve">.” </w:t>
      </w:r>
      <w:r w:rsidRPr="00302287">
        <w:rPr>
          <w:i/>
        </w:rPr>
        <w:t>Journal of Scandinavian Studies in Criminology and Crime Prevention</w:t>
      </w:r>
      <w:r w:rsidRPr="00B261D7">
        <w:t xml:space="preserve"> 10 (SUPPL. 1): 48–58. </w:t>
      </w:r>
    </w:p>
    <w:p w:rsidR="00A45435" w:rsidRDefault="00A45435" w:rsidP="002B3E79">
      <w:pPr>
        <w:ind w:left="720" w:hanging="720"/>
      </w:pPr>
      <w:proofErr w:type="spellStart"/>
      <w:r w:rsidRPr="00A45435">
        <w:t>Marfleet</w:t>
      </w:r>
      <w:proofErr w:type="spellEnd"/>
      <w:r w:rsidR="00B261D7">
        <w:t xml:space="preserve">, </w:t>
      </w:r>
      <w:r w:rsidR="00B261D7" w:rsidRPr="00A45435">
        <w:t>Philip</w:t>
      </w:r>
      <w:r w:rsidRPr="00A45435">
        <w:t>. 2013. “</w:t>
      </w:r>
      <w:hyperlink r:id="rId16" w:history="1">
        <w:r w:rsidRPr="00302287">
          <w:rPr>
            <w:rStyle w:val="Hyperlink"/>
          </w:rPr>
          <w:t>Mubarak’s Egypt — Nexus of Criminality</w:t>
        </w:r>
      </w:hyperlink>
      <w:r w:rsidRPr="00A45435">
        <w:t xml:space="preserve">.” </w:t>
      </w:r>
      <w:r w:rsidRPr="00302287">
        <w:rPr>
          <w:i/>
        </w:rPr>
        <w:t>State Crime Journal</w:t>
      </w:r>
      <w:r w:rsidRPr="00A45435">
        <w:t xml:space="preserve"> 2 (2): 112. </w:t>
      </w:r>
    </w:p>
    <w:p w:rsidR="00B261D7" w:rsidRDefault="00B261D7" w:rsidP="002B3E79">
      <w:pPr>
        <w:ind w:left="720" w:hanging="720"/>
      </w:pPr>
      <w:proofErr w:type="spellStart"/>
      <w:r w:rsidRPr="00B261D7">
        <w:t>McMullin</w:t>
      </w:r>
      <w:proofErr w:type="spellEnd"/>
      <w:r w:rsidRPr="00B261D7">
        <w:t xml:space="preserve">, </w:t>
      </w:r>
      <w:proofErr w:type="spellStart"/>
      <w:r w:rsidRPr="00B261D7">
        <w:t>Jaremey</w:t>
      </w:r>
      <w:proofErr w:type="spellEnd"/>
      <w:r w:rsidRPr="00B261D7">
        <w:t>. 2009. “</w:t>
      </w:r>
      <w:hyperlink r:id="rId17" w:history="1">
        <w:r w:rsidRPr="00302287">
          <w:rPr>
            <w:rStyle w:val="Hyperlink"/>
          </w:rPr>
          <w:t>Organised Criminal Groups and Conflict: The Nature and Consequences of Interdependence</w:t>
        </w:r>
      </w:hyperlink>
      <w:r w:rsidRPr="00B261D7">
        <w:t xml:space="preserve">.” </w:t>
      </w:r>
      <w:r w:rsidRPr="00302287">
        <w:rPr>
          <w:i/>
        </w:rPr>
        <w:t>Civil Wars</w:t>
      </w:r>
      <w:r w:rsidRPr="00B261D7">
        <w:t xml:space="preserve"> 11 (1): 75–102.</w:t>
      </w:r>
      <w:r>
        <w:t xml:space="preserve"> </w:t>
      </w:r>
    </w:p>
    <w:p w:rsidR="00A45435" w:rsidRDefault="00A45435" w:rsidP="002B3E79">
      <w:pPr>
        <w:ind w:left="720" w:hanging="720"/>
      </w:pPr>
      <w:proofErr w:type="spellStart"/>
      <w:r w:rsidRPr="00A45435">
        <w:t>Roht-Arriaza</w:t>
      </w:r>
      <w:proofErr w:type="spellEnd"/>
      <w:r w:rsidRPr="00A45435">
        <w:t xml:space="preserve">, Naomi, and Santiago </w:t>
      </w:r>
      <w:proofErr w:type="spellStart"/>
      <w:r w:rsidRPr="00A45435">
        <w:t>Martínez</w:t>
      </w:r>
      <w:proofErr w:type="spellEnd"/>
      <w:r w:rsidRPr="00A45435">
        <w:t>. 2019. “</w:t>
      </w:r>
      <w:hyperlink r:id="rId18" w:history="1">
        <w:r w:rsidRPr="00302287">
          <w:rPr>
            <w:rStyle w:val="Hyperlink"/>
          </w:rPr>
          <w:t>Grand Corruption and the International Criminal Court in the ‘Venezuela Situation.’</w:t>
        </w:r>
      </w:hyperlink>
      <w:r w:rsidRPr="00A45435">
        <w:t xml:space="preserve">” </w:t>
      </w:r>
      <w:r w:rsidRPr="00302287">
        <w:rPr>
          <w:i/>
        </w:rPr>
        <w:t>Journal of International Criminal Justice</w:t>
      </w:r>
      <w:r w:rsidRPr="00A45435">
        <w:t xml:space="preserve"> 17 (5): 1057–82</w:t>
      </w:r>
      <w:proofErr w:type="gramStart"/>
      <w:r w:rsidRPr="00A45435">
        <w:t>..</w:t>
      </w:r>
      <w:proofErr w:type="gramEnd"/>
      <w:r>
        <w:t xml:space="preserve"> </w:t>
      </w:r>
    </w:p>
    <w:p w:rsidR="0004221D" w:rsidRDefault="00A45435" w:rsidP="002B3E79">
      <w:pPr>
        <w:ind w:left="720" w:hanging="720"/>
      </w:pPr>
      <w:r w:rsidRPr="00A45435">
        <w:t>Springer, Simon. 2011. “</w:t>
      </w:r>
      <w:hyperlink r:id="rId19" w:history="1">
        <w:r w:rsidRPr="00302287">
          <w:rPr>
            <w:rStyle w:val="Hyperlink"/>
          </w:rPr>
          <w:t>Articulated Neoliberalism: The Specificity of Patronage, Kleptocracy, and Violence in Cambodia’s Neoliberalization</w:t>
        </w:r>
      </w:hyperlink>
      <w:r w:rsidRPr="00A45435">
        <w:t xml:space="preserve">.” </w:t>
      </w:r>
      <w:r w:rsidRPr="00302287">
        <w:rPr>
          <w:i/>
        </w:rPr>
        <w:t>Environment and Planning A</w:t>
      </w:r>
      <w:r w:rsidRPr="00A45435">
        <w:t xml:space="preserve"> 43 (11): 2554–70.</w:t>
      </w:r>
    </w:p>
    <w:p w:rsidR="00A45435" w:rsidRPr="0004221D" w:rsidRDefault="0004221D" w:rsidP="002B3E79">
      <w:pPr>
        <w:ind w:left="720" w:hanging="720"/>
      </w:pPr>
      <w:r>
        <w:t xml:space="preserve">Van Baar, Annika, and </w:t>
      </w:r>
      <w:proofErr w:type="spellStart"/>
      <w:r>
        <w:t>Wim</w:t>
      </w:r>
      <w:proofErr w:type="spellEnd"/>
      <w:r w:rsidR="00A45435">
        <w:t xml:space="preserve"> </w:t>
      </w:r>
      <w:r>
        <w:t>Huisman (2012) “</w:t>
      </w:r>
      <w:hyperlink r:id="rId20" w:history="1">
        <w:r w:rsidRPr="0004221D">
          <w:rPr>
            <w:rStyle w:val="Hyperlink"/>
          </w:rPr>
          <w:t>The Oven Builders of the Holocaust: a Case Study of Corporate Complicity in International Crimes</w:t>
        </w:r>
      </w:hyperlink>
      <w:r>
        <w:t xml:space="preserve">.” </w:t>
      </w:r>
      <w:r>
        <w:rPr>
          <w:i/>
        </w:rPr>
        <w:t>British Journal of Criminology</w:t>
      </w:r>
      <w:r>
        <w:t xml:space="preserve"> 52 (6): 1033-</w:t>
      </w:r>
      <w:bookmarkStart w:id="0" w:name="_GoBack"/>
      <w:bookmarkEnd w:id="0"/>
      <w:r>
        <w:t xml:space="preserve">1050. </w:t>
      </w:r>
    </w:p>
    <w:p w:rsidR="00A45435" w:rsidRDefault="00A45435" w:rsidP="002B3E79">
      <w:pPr>
        <w:ind w:left="720" w:hanging="720"/>
      </w:pPr>
    </w:p>
    <w:sectPr w:rsidR="00A45435">
      <w:head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EAC" w:rsidRDefault="00BC2EAC" w:rsidP="00A45435">
      <w:pPr>
        <w:spacing w:after="0" w:line="240" w:lineRule="auto"/>
      </w:pPr>
      <w:r>
        <w:separator/>
      </w:r>
    </w:p>
  </w:endnote>
  <w:endnote w:type="continuationSeparator" w:id="0">
    <w:p w:rsidR="00BC2EAC" w:rsidRDefault="00BC2EAC" w:rsidP="00A45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EAC" w:rsidRDefault="00BC2EAC" w:rsidP="00A45435">
      <w:pPr>
        <w:spacing w:after="0" w:line="240" w:lineRule="auto"/>
      </w:pPr>
      <w:r>
        <w:separator/>
      </w:r>
    </w:p>
  </w:footnote>
  <w:footnote w:type="continuationSeparator" w:id="0">
    <w:p w:rsidR="00BC2EAC" w:rsidRDefault="00BC2EAC" w:rsidP="00A45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435" w:rsidRDefault="00A45435" w:rsidP="00A45435">
    <w:pPr>
      <w:pStyle w:val="Header"/>
      <w:jc w:val="right"/>
    </w:pPr>
    <w:r>
      <w:t>EU SUBSTANTIVE CRIMINAL LAW AND THE PROTECTION OF VICTIMS</w:t>
    </w:r>
  </w:p>
  <w:p w:rsidR="00A45435" w:rsidRDefault="00A45435" w:rsidP="00A45435">
    <w:pPr>
      <w:pStyle w:val="Header"/>
      <w:jc w:val="right"/>
    </w:pPr>
    <w:r>
      <w:t>Advanced Issues in EU Criminal Law and Policy</w:t>
    </w:r>
  </w:p>
  <w:p w:rsidR="00A45435" w:rsidRDefault="00A45435" w:rsidP="00A45435">
    <w:pPr>
      <w:pStyle w:val="Header"/>
      <w:jc w:val="right"/>
    </w:pPr>
    <w:r>
      <w:t>"Prosecuting Environmental and Serious Economic Crimes as International Crimes"</w:t>
    </w:r>
  </w:p>
  <w:p w:rsidR="00A45435" w:rsidRDefault="00A45435" w:rsidP="00A45435">
    <w:pPr>
      <w:pStyle w:val="Header"/>
      <w:jc w:val="right"/>
    </w:pPr>
    <w:r>
      <w:t>Dubrovnik, November 2020</w:t>
    </w:r>
  </w:p>
  <w:p w:rsidR="00A45435" w:rsidRDefault="00A45435" w:rsidP="00A45435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435"/>
    <w:rsid w:val="0004221D"/>
    <w:rsid w:val="0010425D"/>
    <w:rsid w:val="002B3E79"/>
    <w:rsid w:val="00302287"/>
    <w:rsid w:val="00572A16"/>
    <w:rsid w:val="00A45435"/>
    <w:rsid w:val="00B261D7"/>
    <w:rsid w:val="00BC2EAC"/>
    <w:rsid w:val="00E6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DC76B"/>
  <w15:chartTrackingRefBased/>
  <w15:docId w15:val="{3D523EFD-17E4-4E12-AC66-B24ADD08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5435"/>
    <w:pPr>
      <w:keepNext/>
      <w:keepLines/>
      <w:spacing w:before="240" w:after="0"/>
      <w:outlineLvl w:val="0"/>
    </w:pPr>
    <w:rPr>
      <w:rFonts w:ascii="Calibri" w:eastAsiaTheme="majorEastAsia" w:hAnsi="Calibri" w:cstheme="majorBidi"/>
      <w:color w:val="000000" w:themeColor="text1"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435"/>
  </w:style>
  <w:style w:type="paragraph" w:styleId="Footer">
    <w:name w:val="footer"/>
    <w:basedOn w:val="Normal"/>
    <w:link w:val="FooterChar"/>
    <w:uiPriority w:val="99"/>
    <w:unhideWhenUsed/>
    <w:rsid w:val="00A45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435"/>
  </w:style>
  <w:style w:type="character" w:styleId="Hyperlink">
    <w:name w:val="Hyperlink"/>
    <w:basedOn w:val="DefaultParagraphFont"/>
    <w:uiPriority w:val="99"/>
    <w:unhideWhenUsed/>
    <w:rsid w:val="00A45435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45435"/>
    <w:pPr>
      <w:spacing w:after="0" w:line="240" w:lineRule="auto"/>
      <w:contextualSpacing/>
    </w:pPr>
    <w:rPr>
      <w:rFonts w:ascii="Calibri" w:eastAsiaTheme="majorEastAsia" w:hAnsi="Calibri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435"/>
    <w:rPr>
      <w:rFonts w:ascii="Calibri" w:eastAsiaTheme="majorEastAsia" w:hAnsi="Calibri" w:cstheme="majorBidi"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43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45435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A45435"/>
    <w:rPr>
      <w:rFonts w:ascii="Calibri" w:eastAsiaTheme="majorEastAsia" w:hAnsi="Calibri" w:cstheme="majorBidi"/>
      <w:color w:val="000000" w:themeColor="text1"/>
      <w:sz w:val="24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Andy8chi" TargetMode="External"/><Relationship Id="rId13" Type="http://schemas.openxmlformats.org/officeDocument/2006/relationships/hyperlink" Target="https://doi.org/10.1080/10758216.2004.11052170" TargetMode="External"/><Relationship Id="rId18" Type="http://schemas.openxmlformats.org/officeDocument/2006/relationships/hyperlink" Target="https://doi.org/10.1093/jicj/mqz038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doi.org/10.1093/afraf/adu028" TargetMode="External"/><Relationship Id="rId17" Type="http://schemas.openxmlformats.org/officeDocument/2006/relationships/hyperlink" Target="https://doi.org/10.1080/1369824080240706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3169/statecrime.2.2.0112" TargetMode="External"/><Relationship Id="rId20" Type="http://schemas.openxmlformats.org/officeDocument/2006/relationships/hyperlink" Target="https://doi.org/10.1093/bjc/azs044" TargetMode="External"/><Relationship Id="rId1" Type="http://schemas.openxmlformats.org/officeDocument/2006/relationships/styles" Target="styles.xml"/><Relationship Id="rId6" Type="http://schemas.openxmlformats.org/officeDocument/2006/relationships/hyperlink" Target="mailto:andy.aydin-aitchison@ed.ac.uk" TargetMode="External"/><Relationship Id="rId11" Type="http://schemas.openxmlformats.org/officeDocument/2006/relationships/hyperlink" Target="https://doi.org/10.1111/j.1467-856X.2012.00521.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i.org/10.1080/1404385090331621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1017/CBO9781107446700.003" TargetMode="External"/><Relationship Id="rId19" Type="http://schemas.openxmlformats.org/officeDocument/2006/relationships/hyperlink" Target="https://doi.org/10.1068/a4340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krimteme.fkn.unsa.ba/index.php/kt/article/view/102/pdf" TargetMode="External"/><Relationship Id="rId14" Type="http://schemas.openxmlformats.org/officeDocument/2006/relationships/hyperlink" Target="https://doi.org/10.1177/002190961560555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AYDIN-AITCHISON Andy</dc:creator>
  <cp:keywords/>
  <dc:description/>
  <cp:lastModifiedBy>AYDIN-AITCHISON Andy</cp:lastModifiedBy>
  <cp:revision>4</cp:revision>
  <dcterms:created xsi:type="dcterms:W3CDTF">2020-11-02T09:18:00Z</dcterms:created>
  <dcterms:modified xsi:type="dcterms:W3CDTF">2020-11-02T20:30:00Z</dcterms:modified>
</cp:coreProperties>
</file>